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C0219" w:rsidR="0049157F" w:rsidRDefault="0049157F" w14:paraId="62F14D7F" w14:textId="77777777">
      <w:pPr>
        <w:rPr>
          <w:b/>
          <w:sz w:val="22"/>
          <w:szCs w:val="22"/>
        </w:rPr>
      </w:pPr>
    </w:p>
    <w:p w:rsidR="3633EEAA" w:rsidP="3633EEAA" w:rsidRDefault="3633EEAA" w14:paraId="01D3D3AB" w14:textId="46B845D8">
      <w:pPr>
        <w:rPr>
          <w:b/>
          <w:bCs/>
          <w:sz w:val="22"/>
          <w:szCs w:val="22"/>
        </w:rPr>
      </w:pPr>
    </w:p>
    <w:p w:rsidRPr="00AC0219" w:rsidR="002F158D" w:rsidP="002F158D" w:rsidRDefault="002F158D" w14:paraId="783FDE60" w14:textId="77777777">
      <w:pPr>
        <w:jc w:val="center"/>
        <w:rPr>
          <w:b/>
          <w:bCs/>
          <w:sz w:val="22"/>
          <w:szCs w:val="22"/>
        </w:rPr>
      </w:pPr>
    </w:p>
    <w:p w:rsidRPr="00AC0219" w:rsidR="002F158D" w:rsidP="002F158D" w:rsidRDefault="002F158D" w14:paraId="380DB299" w14:textId="77777777">
      <w:pPr>
        <w:jc w:val="center"/>
        <w:rPr>
          <w:b/>
          <w:bCs/>
          <w:sz w:val="22"/>
          <w:szCs w:val="22"/>
        </w:rPr>
      </w:pPr>
    </w:p>
    <w:p w:rsidRPr="00AC0219" w:rsidR="002F158D" w:rsidP="002F158D" w:rsidRDefault="00AC0219" w14:paraId="79D5C4CF" w14:textId="7BDB3774">
      <w:pPr>
        <w:jc w:val="center"/>
        <w:rPr>
          <w:b/>
          <w:bCs/>
          <w:sz w:val="22"/>
          <w:szCs w:val="22"/>
        </w:rPr>
      </w:pPr>
      <w:r w:rsidRPr="00AC0219">
        <w:rPr>
          <w:b/>
          <w:bCs/>
          <w:sz w:val="22"/>
          <w:szCs w:val="22"/>
        </w:rPr>
        <w:t>PROGRAMA</w:t>
      </w:r>
      <w:r w:rsidR="00452326">
        <w:rPr>
          <w:b/>
          <w:bCs/>
          <w:sz w:val="22"/>
          <w:szCs w:val="22"/>
        </w:rPr>
        <w:t xml:space="preserve"> </w:t>
      </w:r>
      <w:r w:rsidRPr="00AC0219">
        <w:rPr>
          <w:b/>
          <w:bCs/>
          <w:sz w:val="22"/>
          <w:szCs w:val="22"/>
        </w:rPr>
        <w:t>COLOMBIA</w:t>
      </w:r>
      <w:r w:rsidR="00452326">
        <w:rPr>
          <w:b/>
          <w:bCs/>
          <w:sz w:val="22"/>
          <w:szCs w:val="22"/>
        </w:rPr>
        <w:t xml:space="preserve"> </w:t>
      </w:r>
      <w:r w:rsidRPr="00AC0219" w:rsidR="002F158D">
        <w:rPr>
          <w:b/>
          <w:bCs/>
          <w:sz w:val="22"/>
          <w:szCs w:val="22"/>
        </w:rPr>
        <w:t>SOLAR</w:t>
      </w:r>
      <w:r w:rsidR="003D296A">
        <w:rPr>
          <w:b/>
          <w:bCs/>
          <w:sz w:val="22"/>
          <w:szCs w:val="22"/>
        </w:rPr>
        <w:t xml:space="preserve"> </w:t>
      </w:r>
    </w:p>
    <w:p w:rsidRPr="00AC0219" w:rsidR="002F158D" w:rsidP="002F158D" w:rsidRDefault="002F158D" w14:paraId="41630522" w14:textId="77777777">
      <w:pPr>
        <w:jc w:val="center"/>
        <w:rPr>
          <w:b/>
          <w:bCs/>
          <w:sz w:val="22"/>
          <w:szCs w:val="22"/>
        </w:rPr>
      </w:pPr>
    </w:p>
    <w:p w:rsidRPr="00AC0219" w:rsidR="002F158D" w:rsidP="002F158D" w:rsidRDefault="002F158D" w14:paraId="4725DE46" w14:textId="77777777">
      <w:pPr>
        <w:jc w:val="center"/>
        <w:rPr>
          <w:b/>
          <w:bCs/>
          <w:sz w:val="22"/>
          <w:szCs w:val="22"/>
        </w:rPr>
      </w:pPr>
    </w:p>
    <w:p w:rsidRPr="00AC0219" w:rsidR="002F158D" w:rsidP="002F158D" w:rsidRDefault="002F158D" w14:paraId="5E0BA701" w14:textId="77777777">
      <w:pPr>
        <w:jc w:val="center"/>
        <w:rPr>
          <w:b/>
          <w:bCs/>
          <w:sz w:val="22"/>
          <w:szCs w:val="22"/>
        </w:rPr>
      </w:pPr>
    </w:p>
    <w:p w:rsidRPr="00AC0219" w:rsidR="002F158D" w:rsidP="002F158D" w:rsidRDefault="002F158D" w14:paraId="67A916C6" w14:textId="77777777">
      <w:pPr>
        <w:jc w:val="center"/>
        <w:rPr>
          <w:b/>
          <w:bCs/>
          <w:sz w:val="22"/>
          <w:szCs w:val="22"/>
        </w:rPr>
      </w:pPr>
    </w:p>
    <w:p w:rsidRPr="00AC0219" w:rsidR="002F158D" w:rsidP="002F158D" w:rsidRDefault="002F158D" w14:paraId="722ED8C1" w14:textId="77777777">
      <w:pPr>
        <w:jc w:val="center"/>
        <w:rPr>
          <w:b/>
          <w:bCs/>
          <w:sz w:val="22"/>
          <w:szCs w:val="22"/>
        </w:rPr>
      </w:pPr>
    </w:p>
    <w:p w:rsidRPr="00AC0219" w:rsidR="002F158D" w:rsidP="002F158D" w:rsidRDefault="002F158D" w14:paraId="128D97F0" w14:textId="77777777">
      <w:pPr>
        <w:jc w:val="center"/>
        <w:rPr>
          <w:b/>
          <w:bCs/>
          <w:sz w:val="22"/>
          <w:szCs w:val="22"/>
        </w:rPr>
      </w:pPr>
    </w:p>
    <w:p w:rsidRPr="00AC0219" w:rsidR="002F158D" w:rsidP="002F158D" w:rsidRDefault="002F158D" w14:paraId="2385134A" w14:textId="77777777">
      <w:pPr>
        <w:jc w:val="center"/>
        <w:rPr>
          <w:b/>
          <w:bCs/>
          <w:sz w:val="22"/>
          <w:szCs w:val="22"/>
        </w:rPr>
      </w:pPr>
    </w:p>
    <w:p w:rsidRPr="00AC0219" w:rsidR="002F158D" w:rsidP="002F158D" w:rsidRDefault="002F158D" w14:paraId="787733C3" w14:textId="77777777">
      <w:pPr>
        <w:jc w:val="center"/>
        <w:rPr>
          <w:b/>
          <w:bCs/>
          <w:sz w:val="22"/>
          <w:szCs w:val="22"/>
        </w:rPr>
      </w:pPr>
    </w:p>
    <w:p w:rsidRPr="00AC0219" w:rsidR="002F158D" w:rsidP="002F158D" w:rsidRDefault="00AC0219" w14:paraId="5FE5A581" w14:textId="63BE991B">
      <w:pPr>
        <w:jc w:val="center"/>
        <w:rPr>
          <w:b/>
          <w:bCs/>
          <w:sz w:val="22"/>
          <w:szCs w:val="22"/>
        </w:rPr>
      </w:pPr>
      <w:r w:rsidRPr="00AC0219">
        <w:rPr>
          <w:b/>
          <w:bCs/>
          <w:sz w:val="22"/>
          <w:szCs w:val="22"/>
        </w:rPr>
        <w:t>RIESGO</w:t>
      </w:r>
      <w:r w:rsidR="00452326">
        <w:rPr>
          <w:b/>
          <w:bCs/>
          <w:sz w:val="22"/>
          <w:szCs w:val="22"/>
        </w:rPr>
        <w:t xml:space="preserve"> </w:t>
      </w:r>
      <w:r w:rsidRPr="00AC0219">
        <w:rPr>
          <w:b/>
          <w:bCs/>
          <w:sz w:val="22"/>
          <w:szCs w:val="22"/>
        </w:rPr>
        <w:t>ORGANIZACIONAL</w:t>
      </w:r>
    </w:p>
    <w:p w:rsidRPr="00AC0219" w:rsidR="002F158D" w:rsidP="002F158D" w:rsidRDefault="002F158D" w14:paraId="58987E09" w14:textId="77777777">
      <w:pPr>
        <w:jc w:val="center"/>
        <w:rPr>
          <w:b/>
          <w:bCs/>
          <w:sz w:val="22"/>
          <w:szCs w:val="22"/>
        </w:rPr>
      </w:pPr>
    </w:p>
    <w:p w:rsidRPr="00AC0219" w:rsidR="002F158D" w:rsidP="002F158D" w:rsidRDefault="002F158D" w14:paraId="33FF1CA7" w14:textId="77777777">
      <w:pPr>
        <w:jc w:val="center"/>
        <w:rPr>
          <w:b/>
          <w:bCs/>
          <w:sz w:val="22"/>
          <w:szCs w:val="22"/>
        </w:rPr>
      </w:pPr>
    </w:p>
    <w:p w:rsidRPr="00AC0219" w:rsidR="002F158D" w:rsidP="002F158D" w:rsidRDefault="002F158D" w14:paraId="23A3455A" w14:textId="77777777">
      <w:pPr>
        <w:jc w:val="center"/>
        <w:rPr>
          <w:b/>
          <w:bCs/>
          <w:sz w:val="22"/>
          <w:szCs w:val="22"/>
        </w:rPr>
      </w:pPr>
    </w:p>
    <w:p w:rsidRPr="00AC0219" w:rsidR="002F158D" w:rsidP="002F158D" w:rsidRDefault="002F158D" w14:paraId="5A6B1D88" w14:textId="77777777">
      <w:pPr>
        <w:jc w:val="center"/>
        <w:rPr>
          <w:b/>
          <w:bCs/>
          <w:sz w:val="22"/>
          <w:szCs w:val="22"/>
        </w:rPr>
      </w:pPr>
    </w:p>
    <w:p w:rsidRPr="00AC0219" w:rsidR="002F158D" w:rsidP="002F158D" w:rsidRDefault="002F158D" w14:paraId="197081F1" w14:textId="77777777">
      <w:pPr>
        <w:jc w:val="center"/>
        <w:rPr>
          <w:b/>
          <w:bCs/>
          <w:sz w:val="22"/>
          <w:szCs w:val="22"/>
        </w:rPr>
      </w:pPr>
    </w:p>
    <w:p w:rsidRPr="00AC0219" w:rsidR="002F158D" w:rsidP="002F158D" w:rsidRDefault="002F158D" w14:paraId="4F683A3D" w14:textId="77777777">
      <w:pPr>
        <w:jc w:val="center"/>
        <w:rPr>
          <w:b/>
          <w:bCs/>
          <w:sz w:val="22"/>
          <w:szCs w:val="22"/>
        </w:rPr>
      </w:pPr>
    </w:p>
    <w:p w:rsidRPr="00AC0219" w:rsidR="002F158D" w:rsidP="002F158D" w:rsidRDefault="002F158D" w14:paraId="4B08F7C5" w14:textId="77777777">
      <w:pPr>
        <w:jc w:val="center"/>
        <w:rPr>
          <w:b/>
          <w:bCs/>
          <w:sz w:val="22"/>
          <w:szCs w:val="22"/>
        </w:rPr>
      </w:pPr>
    </w:p>
    <w:p w:rsidRPr="00AC0219" w:rsidR="002F158D" w:rsidP="002F158D" w:rsidRDefault="002F158D" w14:paraId="1613CD0A" w14:textId="77777777">
      <w:pPr>
        <w:jc w:val="center"/>
        <w:rPr>
          <w:b/>
          <w:bCs/>
          <w:sz w:val="22"/>
          <w:szCs w:val="22"/>
        </w:rPr>
      </w:pPr>
    </w:p>
    <w:p w:rsidRPr="00AC0219" w:rsidR="002F158D" w:rsidP="002F158D" w:rsidRDefault="002F158D" w14:paraId="75931318" w14:textId="77777777">
      <w:pPr>
        <w:jc w:val="center"/>
        <w:rPr>
          <w:b/>
          <w:bCs/>
          <w:sz w:val="22"/>
          <w:szCs w:val="22"/>
        </w:rPr>
      </w:pPr>
    </w:p>
    <w:p w:rsidRPr="00AC0219" w:rsidR="002F158D" w:rsidP="002F158D" w:rsidRDefault="002F158D" w14:paraId="04EBB6FE" w14:textId="77777777">
      <w:pPr>
        <w:jc w:val="center"/>
        <w:rPr>
          <w:b/>
          <w:bCs/>
          <w:sz w:val="22"/>
          <w:szCs w:val="22"/>
        </w:rPr>
      </w:pPr>
    </w:p>
    <w:p w:rsidRPr="00AC0219" w:rsidR="002F158D" w:rsidP="002F158D" w:rsidRDefault="00AC0219" w14:paraId="3052E790" w14:textId="406D0E72">
      <w:pPr>
        <w:jc w:val="center"/>
        <w:rPr>
          <w:b/>
          <w:bCs/>
          <w:sz w:val="22"/>
          <w:szCs w:val="22"/>
        </w:rPr>
      </w:pPr>
      <w:r w:rsidRPr="00AC0219">
        <w:rPr>
          <w:b/>
          <w:bCs/>
          <w:sz w:val="22"/>
          <w:szCs w:val="22"/>
        </w:rPr>
        <w:t>MINISTERIO</w:t>
      </w:r>
      <w:r w:rsidR="00452326">
        <w:rPr>
          <w:b/>
          <w:bCs/>
          <w:sz w:val="22"/>
          <w:szCs w:val="22"/>
        </w:rPr>
        <w:t xml:space="preserve"> </w:t>
      </w:r>
      <w:r w:rsidRPr="00AC0219">
        <w:rPr>
          <w:b/>
          <w:bCs/>
          <w:sz w:val="22"/>
          <w:szCs w:val="22"/>
        </w:rPr>
        <w:t>DE</w:t>
      </w:r>
      <w:r w:rsidR="00452326">
        <w:rPr>
          <w:b/>
          <w:bCs/>
          <w:sz w:val="22"/>
          <w:szCs w:val="22"/>
        </w:rPr>
        <w:t xml:space="preserve"> </w:t>
      </w:r>
      <w:r w:rsidRPr="00AC0219">
        <w:rPr>
          <w:b/>
          <w:bCs/>
          <w:sz w:val="22"/>
          <w:szCs w:val="22"/>
        </w:rPr>
        <w:t>MINAS</w:t>
      </w:r>
      <w:r w:rsidR="00452326">
        <w:rPr>
          <w:b/>
          <w:bCs/>
          <w:sz w:val="22"/>
          <w:szCs w:val="22"/>
        </w:rPr>
        <w:t xml:space="preserve"> </w:t>
      </w:r>
      <w:r w:rsidRPr="00AC0219">
        <w:rPr>
          <w:b/>
          <w:bCs/>
          <w:sz w:val="22"/>
          <w:szCs w:val="22"/>
        </w:rPr>
        <w:t>Y</w:t>
      </w:r>
      <w:r w:rsidR="00452326">
        <w:rPr>
          <w:b/>
          <w:bCs/>
          <w:sz w:val="22"/>
          <w:szCs w:val="22"/>
        </w:rPr>
        <w:t xml:space="preserve"> </w:t>
      </w:r>
      <w:r w:rsidRPr="00AC0219">
        <w:rPr>
          <w:b/>
          <w:bCs/>
          <w:sz w:val="22"/>
          <w:szCs w:val="22"/>
        </w:rPr>
        <w:t>ENERGÍA</w:t>
      </w:r>
    </w:p>
    <w:p w:rsidRPr="00AC0219" w:rsidR="002F158D" w:rsidP="002F158D" w:rsidRDefault="00670296" w14:paraId="2EBAA007" w14:textId="32D00E3F">
      <w:pPr>
        <w:jc w:val="center"/>
        <w:rPr>
          <w:b/>
          <w:bCs/>
          <w:sz w:val="22"/>
          <w:szCs w:val="22"/>
        </w:rPr>
      </w:pPr>
      <w:r w:rsidRPr="00AC0219">
        <w:rPr>
          <w:b/>
          <w:bCs/>
          <w:sz w:val="22"/>
          <w:szCs w:val="22"/>
        </w:rPr>
        <w:t>MARZO</w:t>
      </w:r>
      <w:r w:rsidR="00452326">
        <w:rPr>
          <w:b/>
          <w:bCs/>
          <w:sz w:val="22"/>
          <w:szCs w:val="22"/>
        </w:rPr>
        <w:t xml:space="preserve">  </w:t>
      </w:r>
      <w:r w:rsidRPr="00AC0219" w:rsidR="00AC0219">
        <w:rPr>
          <w:b/>
          <w:bCs/>
          <w:sz w:val="22"/>
          <w:szCs w:val="22"/>
        </w:rPr>
        <w:t>31</w:t>
      </w:r>
      <w:r w:rsidR="00452326">
        <w:rPr>
          <w:b/>
          <w:bCs/>
          <w:sz w:val="22"/>
          <w:szCs w:val="22"/>
        </w:rPr>
        <w:t xml:space="preserve"> </w:t>
      </w:r>
      <w:r w:rsidRPr="00AC0219" w:rsidR="00AC0219">
        <w:rPr>
          <w:b/>
          <w:bCs/>
          <w:sz w:val="22"/>
          <w:szCs w:val="22"/>
        </w:rPr>
        <w:t>DE</w:t>
      </w:r>
      <w:r w:rsidR="00452326">
        <w:rPr>
          <w:b/>
          <w:bCs/>
          <w:sz w:val="22"/>
          <w:szCs w:val="22"/>
        </w:rPr>
        <w:t xml:space="preserve">  </w:t>
      </w:r>
      <w:r w:rsidRPr="00AC0219" w:rsidR="002F158D">
        <w:rPr>
          <w:b/>
          <w:bCs/>
          <w:sz w:val="22"/>
          <w:szCs w:val="22"/>
        </w:rPr>
        <w:t>2026</w:t>
      </w:r>
    </w:p>
    <w:p w:rsidRPr="00AC0219" w:rsidR="003C256B" w:rsidP="002F158D" w:rsidRDefault="003C256B" w14:paraId="6FFF474A" w14:textId="77777777">
      <w:pPr>
        <w:jc w:val="center"/>
        <w:rPr>
          <w:b/>
          <w:bCs/>
          <w:sz w:val="22"/>
          <w:szCs w:val="22"/>
        </w:rPr>
      </w:pPr>
    </w:p>
    <w:p w:rsidRPr="00AC0219" w:rsidR="003C256B" w:rsidP="002F158D" w:rsidRDefault="003C256B" w14:paraId="6203A68E" w14:textId="77777777">
      <w:pPr>
        <w:jc w:val="center"/>
        <w:rPr>
          <w:b/>
          <w:bCs/>
          <w:sz w:val="22"/>
          <w:szCs w:val="22"/>
        </w:rPr>
      </w:pPr>
    </w:p>
    <w:p w:rsidRPr="00AC0219" w:rsidR="003C256B" w:rsidP="002F158D" w:rsidRDefault="003C256B" w14:paraId="0827D686" w14:textId="77777777">
      <w:pPr>
        <w:jc w:val="center"/>
        <w:rPr>
          <w:b/>
          <w:bCs/>
          <w:sz w:val="22"/>
          <w:szCs w:val="22"/>
        </w:rPr>
      </w:pPr>
    </w:p>
    <w:p w:rsidR="111FA213" w:rsidP="111FA213" w:rsidRDefault="111FA213" w14:paraId="23DE96BD" w14:textId="591E576B">
      <w:pPr>
        <w:jc w:val="center"/>
        <w:rPr>
          <w:b/>
          <w:bCs/>
          <w:sz w:val="22"/>
          <w:szCs w:val="22"/>
        </w:rPr>
      </w:pPr>
    </w:p>
    <w:p w:rsidRPr="00304A4C" w:rsidR="003C256B" w:rsidP="002F158D" w:rsidRDefault="00304A4C" w14:paraId="4D35A69C" w14:textId="0963D517">
      <w:pPr>
        <w:jc w:val="center"/>
        <w:rPr>
          <w:b/>
          <w:bCs/>
        </w:rPr>
      </w:pPr>
      <w:r w:rsidRPr="00304A4C">
        <w:rPr>
          <w:b/>
          <w:bCs/>
        </w:rPr>
        <w:t>TABLA DE CONTENIDO</w:t>
      </w:r>
    </w:p>
    <w:p w:rsidRPr="00AC0219" w:rsidR="00304A4C" w:rsidP="002F158D" w:rsidRDefault="00304A4C" w14:paraId="0E51F6D5" w14:textId="77777777">
      <w:pPr>
        <w:jc w:val="center"/>
        <w:rPr>
          <w:b/>
          <w:bCs/>
          <w:sz w:val="22"/>
          <w:szCs w:val="22"/>
        </w:rPr>
      </w:pPr>
    </w:p>
    <w:sdt>
      <w:sdtPr>
        <w:id w:val="723105273"/>
        <w:docPartObj>
          <w:docPartGallery w:val="Table of Contents"/>
          <w:docPartUnique/>
        </w:docPartObj>
        <w:rPr>
          <w:rFonts w:eastAsia="游明朝" w:eastAsiaTheme="minorEastAsia"/>
          <w:lang w:val="es-ES"/>
        </w:rPr>
      </w:sdtPr>
      <w:sdtEndPr>
        <w:rPr>
          <w:rFonts w:eastAsia="游明朝" w:eastAsiaTheme="minorEastAsia"/>
          <w:sz w:val="22"/>
          <w:szCs w:val="22"/>
          <w:lang w:val="es-ES"/>
        </w:rPr>
      </w:sdtEndPr>
      <w:sdtContent>
        <w:p w:rsidR="000E3072" w:rsidRDefault="003C256B" w14:paraId="1B62ABC7" w14:textId="041A0A94">
          <w:pPr>
            <w:pStyle w:val="TDC1"/>
            <w:tabs>
              <w:tab w:val="left" w:pos="480"/>
              <w:tab w:val="right" w:leader="dot" w:pos="9111"/>
            </w:tabs>
            <w:rPr>
              <w:rFonts w:eastAsiaTheme="minorEastAsia"/>
              <w:noProof/>
              <w:lang w:eastAsia="es-CO"/>
            </w:rPr>
          </w:pPr>
          <w:r w:rsidRPr="00B424BD">
            <w:rPr>
              <w:sz w:val="22"/>
              <w:szCs w:val="22"/>
            </w:rPr>
            <w:fldChar w:fldCharType="begin"/>
          </w:r>
          <w:r w:rsidRPr="00B424BD">
            <w:rPr>
              <w:sz w:val="22"/>
              <w:szCs w:val="22"/>
            </w:rPr>
            <w:instrText xml:space="preserve"> TOC \o "1-3" \h \z \u </w:instrText>
          </w:r>
          <w:r w:rsidRPr="00B424BD">
            <w:rPr>
              <w:sz w:val="22"/>
              <w:szCs w:val="22"/>
            </w:rPr>
            <w:fldChar w:fldCharType="separate"/>
          </w:r>
          <w:hyperlink w:history="1" w:anchor="_Toc225160593">
            <w:r w:rsidRPr="00E07C92" w:rsidR="000E3072">
              <w:rPr>
                <w:rStyle w:val="Hipervnculo"/>
                <w:b/>
                <w:bCs/>
                <w:noProof/>
              </w:rPr>
              <w:t>1.</w:t>
            </w:r>
            <w:r w:rsidR="000E3072">
              <w:rPr>
                <w:rFonts w:eastAsiaTheme="minorEastAsia"/>
                <w:noProof/>
                <w:lang w:eastAsia="es-CO"/>
              </w:rPr>
              <w:tab/>
            </w:r>
            <w:r w:rsidRPr="00E07C92" w:rsidR="000E3072">
              <w:rPr>
                <w:rStyle w:val="Hipervnculo"/>
                <w:b/>
                <w:bCs/>
                <w:noProof/>
              </w:rPr>
              <w:t>INTRODUCCIÓN</w:t>
            </w:r>
            <w:r w:rsidR="000E3072">
              <w:rPr>
                <w:noProof/>
                <w:webHidden/>
              </w:rPr>
              <w:tab/>
            </w:r>
            <w:r w:rsidR="000E3072">
              <w:rPr>
                <w:noProof/>
                <w:webHidden/>
              </w:rPr>
              <w:fldChar w:fldCharType="begin"/>
            </w:r>
            <w:r w:rsidR="000E3072">
              <w:rPr>
                <w:noProof/>
                <w:webHidden/>
              </w:rPr>
              <w:instrText xml:space="preserve"> PAGEREF _Toc225160593 \h </w:instrText>
            </w:r>
            <w:r w:rsidR="000E3072">
              <w:rPr>
                <w:noProof/>
                <w:webHidden/>
              </w:rPr>
            </w:r>
            <w:r w:rsidR="000E3072">
              <w:rPr>
                <w:noProof/>
                <w:webHidden/>
              </w:rPr>
              <w:fldChar w:fldCharType="separate"/>
            </w:r>
            <w:r w:rsidR="000E3072">
              <w:rPr>
                <w:noProof/>
                <w:webHidden/>
              </w:rPr>
              <w:t>4</w:t>
            </w:r>
            <w:r w:rsidR="000E3072">
              <w:rPr>
                <w:noProof/>
                <w:webHidden/>
              </w:rPr>
              <w:fldChar w:fldCharType="end"/>
            </w:r>
          </w:hyperlink>
        </w:p>
        <w:p w:rsidR="000E3072" w:rsidRDefault="000E3072" w14:paraId="3364AD29" w14:textId="0D0FA6C9">
          <w:pPr>
            <w:pStyle w:val="TDC1"/>
            <w:tabs>
              <w:tab w:val="left" w:pos="480"/>
              <w:tab w:val="right" w:leader="dot" w:pos="9111"/>
            </w:tabs>
            <w:rPr>
              <w:rFonts w:eastAsiaTheme="minorEastAsia"/>
              <w:noProof/>
              <w:lang w:eastAsia="es-CO"/>
            </w:rPr>
          </w:pPr>
          <w:hyperlink w:history="1" w:anchor="_Toc225160594">
            <w:r w:rsidRPr="00E07C92">
              <w:rPr>
                <w:rStyle w:val="Hipervnculo"/>
                <w:b/>
                <w:bCs/>
                <w:noProof/>
              </w:rPr>
              <w:t>2.</w:t>
            </w:r>
            <w:r>
              <w:rPr>
                <w:rFonts w:eastAsiaTheme="minorEastAsia"/>
                <w:noProof/>
                <w:lang w:eastAsia="es-CO"/>
              </w:rPr>
              <w:tab/>
            </w:r>
            <w:r w:rsidRPr="00E07C92">
              <w:rPr>
                <w:rStyle w:val="Hipervnculo"/>
                <w:b/>
                <w:bCs/>
                <w:noProof/>
              </w:rPr>
              <w:t>JUSTIFICACIÓN</w:t>
            </w:r>
            <w:r>
              <w:rPr>
                <w:noProof/>
                <w:webHidden/>
              </w:rPr>
              <w:tab/>
            </w:r>
            <w:r>
              <w:rPr>
                <w:noProof/>
                <w:webHidden/>
              </w:rPr>
              <w:fldChar w:fldCharType="begin"/>
            </w:r>
            <w:r>
              <w:rPr>
                <w:noProof/>
                <w:webHidden/>
              </w:rPr>
              <w:instrText xml:space="preserve"> PAGEREF _Toc225160594 \h </w:instrText>
            </w:r>
            <w:r>
              <w:rPr>
                <w:noProof/>
                <w:webHidden/>
              </w:rPr>
            </w:r>
            <w:r>
              <w:rPr>
                <w:noProof/>
                <w:webHidden/>
              </w:rPr>
              <w:fldChar w:fldCharType="separate"/>
            </w:r>
            <w:r>
              <w:rPr>
                <w:noProof/>
                <w:webHidden/>
              </w:rPr>
              <w:t>5</w:t>
            </w:r>
            <w:r>
              <w:rPr>
                <w:noProof/>
                <w:webHidden/>
              </w:rPr>
              <w:fldChar w:fldCharType="end"/>
            </w:r>
          </w:hyperlink>
        </w:p>
        <w:p w:rsidR="000E3072" w:rsidRDefault="000E3072" w14:paraId="3853DCC1" w14:textId="7BDA0F04">
          <w:pPr>
            <w:pStyle w:val="TDC1"/>
            <w:tabs>
              <w:tab w:val="left" w:pos="480"/>
              <w:tab w:val="right" w:leader="dot" w:pos="9111"/>
            </w:tabs>
            <w:rPr>
              <w:rFonts w:eastAsiaTheme="minorEastAsia"/>
              <w:noProof/>
              <w:lang w:eastAsia="es-CO"/>
            </w:rPr>
          </w:pPr>
          <w:hyperlink w:history="1" w:anchor="_Toc225160595">
            <w:r w:rsidRPr="00E07C92">
              <w:rPr>
                <w:rStyle w:val="Hipervnculo"/>
                <w:b/>
                <w:bCs/>
                <w:noProof/>
              </w:rPr>
              <w:t>3.</w:t>
            </w:r>
            <w:r>
              <w:rPr>
                <w:rFonts w:eastAsiaTheme="minorEastAsia"/>
                <w:noProof/>
                <w:lang w:eastAsia="es-CO"/>
              </w:rPr>
              <w:tab/>
            </w:r>
            <w:r w:rsidRPr="00E07C92">
              <w:rPr>
                <w:rStyle w:val="Hipervnculo"/>
                <w:b/>
                <w:bCs/>
                <w:noProof/>
              </w:rPr>
              <w:t>MARCO CONCEPTUAL</w:t>
            </w:r>
            <w:r>
              <w:rPr>
                <w:noProof/>
                <w:webHidden/>
              </w:rPr>
              <w:tab/>
            </w:r>
            <w:r>
              <w:rPr>
                <w:noProof/>
                <w:webHidden/>
              </w:rPr>
              <w:fldChar w:fldCharType="begin"/>
            </w:r>
            <w:r>
              <w:rPr>
                <w:noProof/>
                <w:webHidden/>
              </w:rPr>
              <w:instrText xml:space="preserve"> PAGEREF _Toc225160595 \h </w:instrText>
            </w:r>
            <w:r>
              <w:rPr>
                <w:noProof/>
                <w:webHidden/>
              </w:rPr>
            </w:r>
            <w:r>
              <w:rPr>
                <w:noProof/>
                <w:webHidden/>
              </w:rPr>
              <w:fldChar w:fldCharType="separate"/>
            </w:r>
            <w:r>
              <w:rPr>
                <w:noProof/>
                <w:webHidden/>
              </w:rPr>
              <w:t>6</w:t>
            </w:r>
            <w:r>
              <w:rPr>
                <w:noProof/>
                <w:webHidden/>
              </w:rPr>
              <w:fldChar w:fldCharType="end"/>
            </w:r>
          </w:hyperlink>
        </w:p>
        <w:p w:rsidR="000E3072" w:rsidRDefault="000E3072" w14:paraId="0448B04F" w14:textId="5DD0B4E6">
          <w:pPr>
            <w:pStyle w:val="TDC2"/>
            <w:tabs>
              <w:tab w:val="left" w:pos="960"/>
              <w:tab w:val="right" w:leader="dot" w:pos="9111"/>
            </w:tabs>
            <w:rPr>
              <w:rFonts w:eastAsiaTheme="minorEastAsia"/>
              <w:noProof/>
              <w:lang w:eastAsia="es-CO"/>
            </w:rPr>
          </w:pPr>
          <w:hyperlink w:history="1" w:anchor="_Toc225160596">
            <w:r w:rsidRPr="00E07C92">
              <w:rPr>
                <w:rStyle w:val="Hipervnculo"/>
                <w:rFonts w:eastAsia="Times New Roman"/>
                <w:b/>
                <w:bCs/>
                <w:noProof/>
              </w:rPr>
              <w:t>3.1.</w:t>
            </w:r>
            <w:r>
              <w:rPr>
                <w:rFonts w:eastAsiaTheme="minorEastAsia"/>
                <w:noProof/>
                <w:lang w:eastAsia="es-CO"/>
              </w:rPr>
              <w:tab/>
            </w:r>
            <w:r w:rsidRPr="00E07C92">
              <w:rPr>
                <w:rStyle w:val="Hipervnculo"/>
                <w:rFonts w:eastAsia="Times New Roman"/>
                <w:b/>
                <w:bCs/>
                <w:noProof/>
              </w:rPr>
              <w:t>Teoría de los accidentes normales NAT.</w:t>
            </w:r>
            <w:r>
              <w:rPr>
                <w:noProof/>
                <w:webHidden/>
              </w:rPr>
              <w:tab/>
            </w:r>
            <w:r>
              <w:rPr>
                <w:noProof/>
                <w:webHidden/>
              </w:rPr>
              <w:fldChar w:fldCharType="begin"/>
            </w:r>
            <w:r>
              <w:rPr>
                <w:noProof/>
                <w:webHidden/>
              </w:rPr>
              <w:instrText xml:space="preserve"> PAGEREF _Toc225160596 \h </w:instrText>
            </w:r>
            <w:r>
              <w:rPr>
                <w:noProof/>
                <w:webHidden/>
              </w:rPr>
            </w:r>
            <w:r>
              <w:rPr>
                <w:noProof/>
                <w:webHidden/>
              </w:rPr>
              <w:fldChar w:fldCharType="separate"/>
            </w:r>
            <w:r>
              <w:rPr>
                <w:noProof/>
                <w:webHidden/>
              </w:rPr>
              <w:t>12</w:t>
            </w:r>
            <w:r>
              <w:rPr>
                <w:noProof/>
                <w:webHidden/>
              </w:rPr>
              <w:fldChar w:fldCharType="end"/>
            </w:r>
          </w:hyperlink>
        </w:p>
        <w:p w:rsidR="000E3072" w:rsidRDefault="000E3072" w14:paraId="73A07228" w14:textId="1015BBB0">
          <w:pPr>
            <w:pStyle w:val="TDC2"/>
            <w:tabs>
              <w:tab w:val="left" w:pos="960"/>
              <w:tab w:val="right" w:leader="dot" w:pos="9111"/>
            </w:tabs>
            <w:rPr>
              <w:rFonts w:eastAsiaTheme="minorEastAsia"/>
              <w:noProof/>
              <w:lang w:eastAsia="es-CO"/>
            </w:rPr>
          </w:pPr>
          <w:hyperlink w:history="1" w:anchor="_Toc225160597">
            <w:r w:rsidRPr="00E07C92">
              <w:rPr>
                <w:rStyle w:val="Hipervnculo"/>
                <w:rFonts w:eastAsia="Times New Roman"/>
                <w:b/>
                <w:bCs/>
                <w:noProof/>
              </w:rPr>
              <w:t>3.2.</w:t>
            </w:r>
            <w:r>
              <w:rPr>
                <w:rFonts w:eastAsiaTheme="minorEastAsia"/>
                <w:noProof/>
                <w:lang w:eastAsia="es-CO"/>
              </w:rPr>
              <w:tab/>
            </w:r>
            <w:r w:rsidRPr="00E07C92">
              <w:rPr>
                <w:rStyle w:val="Hipervnculo"/>
                <w:rFonts w:eastAsia="Times New Roman"/>
                <w:b/>
                <w:bCs/>
                <w:noProof/>
              </w:rPr>
              <w:t>Teoría de las Organizaciones de alta confiabilidad HRO.</w:t>
            </w:r>
            <w:r>
              <w:rPr>
                <w:noProof/>
                <w:webHidden/>
              </w:rPr>
              <w:tab/>
            </w:r>
            <w:r>
              <w:rPr>
                <w:noProof/>
                <w:webHidden/>
              </w:rPr>
              <w:fldChar w:fldCharType="begin"/>
            </w:r>
            <w:r>
              <w:rPr>
                <w:noProof/>
                <w:webHidden/>
              </w:rPr>
              <w:instrText xml:space="preserve"> PAGEREF _Toc225160597 \h </w:instrText>
            </w:r>
            <w:r>
              <w:rPr>
                <w:noProof/>
                <w:webHidden/>
              </w:rPr>
            </w:r>
            <w:r>
              <w:rPr>
                <w:noProof/>
                <w:webHidden/>
              </w:rPr>
              <w:fldChar w:fldCharType="separate"/>
            </w:r>
            <w:r>
              <w:rPr>
                <w:noProof/>
                <w:webHidden/>
              </w:rPr>
              <w:t>13</w:t>
            </w:r>
            <w:r>
              <w:rPr>
                <w:noProof/>
                <w:webHidden/>
              </w:rPr>
              <w:fldChar w:fldCharType="end"/>
            </w:r>
          </w:hyperlink>
        </w:p>
        <w:p w:rsidR="000E3072" w:rsidRDefault="000E3072" w14:paraId="6D484FDB" w14:textId="76B26901">
          <w:pPr>
            <w:pStyle w:val="TDC2"/>
            <w:tabs>
              <w:tab w:val="left" w:pos="960"/>
              <w:tab w:val="right" w:leader="dot" w:pos="9111"/>
            </w:tabs>
            <w:rPr>
              <w:rFonts w:eastAsiaTheme="minorEastAsia"/>
              <w:noProof/>
              <w:lang w:eastAsia="es-CO"/>
            </w:rPr>
          </w:pPr>
          <w:hyperlink w:history="1" w:anchor="_Toc225160598">
            <w:r w:rsidRPr="00E07C92">
              <w:rPr>
                <w:rStyle w:val="Hipervnculo"/>
                <w:rFonts w:eastAsia="Times New Roman"/>
                <w:b/>
                <w:bCs/>
                <w:noProof/>
              </w:rPr>
              <w:t>3.3.</w:t>
            </w:r>
            <w:r>
              <w:rPr>
                <w:rFonts w:eastAsiaTheme="minorEastAsia"/>
                <w:noProof/>
                <w:lang w:eastAsia="es-CO"/>
              </w:rPr>
              <w:tab/>
            </w:r>
            <w:r w:rsidRPr="00E07C92">
              <w:rPr>
                <w:rStyle w:val="Hipervnculo"/>
                <w:rFonts w:eastAsia="Times New Roman"/>
                <w:b/>
                <w:noProof/>
              </w:rPr>
              <w:t>Teoría de la Desviación de Diane Vaughan.</w:t>
            </w:r>
            <w:r>
              <w:rPr>
                <w:noProof/>
                <w:webHidden/>
              </w:rPr>
              <w:tab/>
            </w:r>
            <w:r>
              <w:rPr>
                <w:noProof/>
                <w:webHidden/>
              </w:rPr>
              <w:fldChar w:fldCharType="begin"/>
            </w:r>
            <w:r>
              <w:rPr>
                <w:noProof/>
                <w:webHidden/>
              </w:rPr>
              <w:instrText xml:space="preserve"> PAGEREF _Toc225160598 \h </w:instrText>
            </w:r>
            <w:r>
              <w:rPr>
                <w:noProof/>
                <w:webHidden/>
              </w:rPr>
            </w:r>
            <w:r>
              <w:rPr>
                <w:noProof/>
                <w:webHidden/>
              </w:rPr>
              <w:fldChar w:fldCharType="separate"/>
            </w:r>
            <w:r>
              <w:rPr>
                <w:noProof/>
                <w:webHidden/>
              </w:rPr>
              <w:t>16</w:t>
            </w:r>
            <w:r>
              <w:rPr>
                <w:noProof/>
                <w:webHidden/>
              </w:rPr>
              <w:fldChar w:fldCharType="end"/>
            </w:r>
          </w:hyperlink>
        </w:p>
        <w:p w:rsidR="000E3072" w:rsidRDefault="000E3072" w14:paraId="0A2C70FC" w14:textId="21609FDC">
          <w:pPr>
            <w:pStyle w:val="TDC2"/>
            <w:tabs>
              <w:tab w:val="left" w:pos="960"/>
              <w:tab w:val="right" w:leader="dot" w:pos="9111"/>
            </w:tabs>
            <w:rPr>
              <w:rFonts w:eastAsiaTheme="minorEastAsia"/>
              <w:noProof/>
              <w:lang w:eastAsia="es-CO"/>
            </w:rPr>
          </w:pPr>
          <w:hyperlink w:history="1" w:anchor="_Toc225160599">
            <w:r w:rsidRPr="00E07C92">
              <w:rPr>
                <w:rStyle w:val="Hipervnculo"/>
                <w:rFonts w:eastAsia="Times New Roman"/>
                <w:b/>
                <w:bCs/>
                <w:noProof/>
              </w:rPr>
              <w:t>3.4.</w:t>
            </w:r>
            <w:r>
              <w:rPr>
                <w:rFonts w:eastAsiaTheme="minorEastAsia"/>
                <w:noProof/>
                <w:lang w:eastAsia="es-CO"/>
              </w:rPr>
              <w:tab/>
            </w:r>
            <w:r w:rsidRPr="00E07C92">
              <w:rPr>
                <w:rStyle w:val="Hipervnculo"/>
                <w:rFonts w:eastAsia="Times New Roman"/>
                <w:b/>
                <w:bCs/>
                <w:noProof/>
              </w:rPr>
              <w:t>Modelo del “queso suizo” (Reason)</w:t>
            </w:r>
            <w:r>
              <w:rPr>
                <w:noProof/>
                <w:webHidden/>
              </w:rPr>
              <w:tab/>
            </w:r>
            <w:r>
              <w:rPr>
                <w:noProof/>
                <w:webHidden/>
              </w:rPr>
              <w:fldChar w:fldCharType="begin"/>
            </w:r>
            <w:r>
              <w:rPr>
                <w:noProof/>
                <w:webHidden/>
              </w:rPr>
              <w:instrText xml:space="preserve"> PAGEREF _Toc225160599 \h </w:instrText>
            </w:r>
            <w:r>
              <w:rPr>
                <w:noProof/>
                <w:webHidden/>
              </w:rPr>
            </w:r>
            <w:r>
              <w:rPr>
                <w:noProof/>
                <w:webHidden/>
              </w:rPr>
              <w:fldChar w:fldCharType="separate"/>
            </w:r>
            <w:r>
              <w:rPr>
                <w:noProof/>
                <w:webHidden/>
              </w:rPr>
              <w:t>18</w:t>
            </w:r>
            <w:r>
              <w:rPr>
                <w:noProof/>
                <w:webHidden/>
              </w:rPr>
              <w:fldChar w:fldCharType="end"/>
            </w:r>
          </w:hyperlink>
        </w:p>
        <w:p w:rsidR="000E3072" w:rsidRDefault="000E3072" w14:paraId="65F720BA" w14:textId="6E26E749">
          <w:pPr>
            <w:pStyle w:val="TDC2"/>
            <w:tabs>
              <w:tab w:val="left" w:pos="960"/>
              <w:tab w:val="right" w:leader="dot" w:pos="9111"/>
            </w:tabs>
            <w:rPr>
              <w:rFonts w:eastAsiaTheme="minorEastAsia"/>
              <w:noProof/>
              <w:lang w:eastAsia="es-CO"/>
            </w:rPr>
          </w:pPr>
          <w:hyperlink w:history="1" w:anchor="_Toc225160600">
            <w:r w:rsidRPr="00E07C92">
              <w:rPr>
                <w:rStyle w:val="Hipervnculo"/>
                <w:rFonts w:eastAsia="Times New Roman"/>
                <w:b/>
                <w:bCs/>
                <w:noProof/>
              </w:rPr>
              <w:t>3.5.</w:t>
            </w:r>
            <w:r>
              <w:rPr>
                <w:rFonts w:eastAsiaTheme="minorEastAsia"/>
                <w:noProof/>
                <w:lang w:eastAsia="es-CO"/>
              </w:rPr>
              <w:tab/>
            </w:r>
            <w:r w:rsidRPr="00E07C92">
              <w:rPr>
                <w:rStyle w:val="Hipervnculo"/>
                <w:rFonts w:eastAsia="Times New Roman"/>
                <w:b/>
                <w:bCs/>
                <w:noProof/>
              </w:rPr>
              <w:t>Gestión estratégica del riesgo</w:t>
            </w:r>
            <w:r>
              <w:rPr>
                <w:noProof/>
                <w:webHidden/>
              </w:rPr>
              <w:tab/>
            </w:r>
            <w:r>
              <w:rPr>
                <w:noProof/>
                <w:webHidden/>
              </w:rPr>
              <w:fldChar w:fldCharType="begin"/>
            </w:r>
            <w:r>
              <w:rPr>
                <w:noProof/>
                <w:webHidden/>
              </w:rPr>
              <w:instrText xml:space="preserve"> PAGEREF _Toc225160600 \h </w:instrText>
            </w:r>
            <w:r>
              <w:rPr>
                <w:noProof/>
                <w:webHidden/>
              </w:rPr>
            </w:r>
            <w:r>
              <w:rPr>
                <w:noProof/>
                <w:webHidden/>
              </w:rPr>
              <w:fldChar w:fldCharType="separate"/>
            </w:r>
            <w:r>
              <w:rPr>
                <w:noProof/>
                <w:webHidden/>
              </w:rPr>
              <w:t>20</w:t>
            </w:r>
            <w:r>
              <w:rPr>
                <w:noProof/>
                <w:webHidden/>
              </w:rPr>
              <w:fldChar w:fldCharType="end"/>
            </w:r>
          </w:hyperlink>
        </w:p>
        <w:p w:rsidR="000E3072" w:rsidRDefault="000E3072" w14:paraId="54AF6DB7" w14:textId="09A8F28C">
          <w:pPr>
            <w:pStyle w:val="TDC1"/>
            <w:tabs>
              <w:tab w:val="left" w:pos="480"/>
              <w:tab w:val="right" w:leader="dot" w:pos="9111"/>
            </w:tabs>
            <w:rPr>
              <w:rFonts w:eastAsiaTheme="minorEastAsia"/>
              <w:noProof/>
              <w:lang w:eastAsia="es-CO"/>
            </w:rPr>
          </w:pPr>
          <w:hyperlink w:history="1" w:anchor="_Toc225160601">
            <w:r w:rsidRPr="00E07C92">
              <w:rPr>
                <w:rStyle w:val="Hipervnculo"/>
                <w:b/>
                <w:bCs/>
                <w:noProof/>
              </w:rPr>
              <w:t>4.</w:t>
            </w:r>
            <w:r>
              <w:rPr>
                <w:rFonts w:eastAsiaTheme="minorEastAsia"/>
                <w:noProof/>
                <w:lang w:eastAsia="es-CO"/>
              </w:rPr>
              <w:tab/>
            </w:r>
            <w:r w:rsidRPr="00E07C92">
              <w:rPr>
                <w:rStyle w:val="Hipervnculo"/>
                <w:b/>
                <w:noProof/>
              </w:rPr>
              <w:t>MARCO METODOLÓGICO</w:t>
            </w:r>
            <w:r>
              <w:rPr>
                <w:noProof/>
                <w:webHidden/>
              </w:rPr>
              <w:tab/>
            </w:r>
            <w:r>
              <w:rPr>
                <w:noProof/>
                <w:webHidden/>
              </w:rPr>
              <w:fldChar w:fldCharType="begin"/>
            </w:r>
            <w:r>
              <w:rPr>
                <w:noProof/>
                <w:webHidden/>
              </w:rPr>
              <w:instrText xml:space="preserve"> PAGEREF _Toc225160601 \h </w:instrText>
            </w:r>
            <w:r>
              <w:rPr>
                <w:noProof/>
                <w:webHidden/>
              </w:rPr>
            </w:r>
            <w:r>
              <w:rPr>
                <w:noProof/>
                <w:webHidden/>
              </w:rPr>
              <w:fldChar w:fldCharType="separate"/>
            </w:r>
            <w:r>
              <w:rPr>
                <w:noProof/>
                <w:webHidden/>
              </w:rPr>
              <w:t>22</w:t>
            </w:r>
            <w:r>
              <w:rPr>
                <w:noProof/>
                <w:webHidden/>
              </w:rPr>
              <w:fldChar w:fldCharType="end"/>
            </w:r>
          </w:hyperlink>
        </w:p>
        <w:p w:rsidR="000E3072" w:rsidRDefault="000E3072" w14:paraId="6910DFC4" w14:textId="562BF963">
          <w:pPr>
            <w:pStyle w:val="TDC2"/>
            <w:tabs>
              <w:tab w:val="left" w:pos="960"/>
              <w:tab w:val="right" w:leader="dot" w:pos="9111"/>
            </w:tabs>
            <w:rPr>
              <w:rFonts w:eastAsiaTheme="minorEastAsia"/>
              <w:noProof/>
              <w:lang w:eastAsia="es-CO"/>
            </w:rPr>
          </w:pPr>
          <w:hyperlink w:history="1" w:anchor="_Toc225160602">
            <w:r w:rsidRPr="00E07C92">
              <w:rPr>
                <w:rStyle w:val="Hipervnculo"/>
                <w:rFonts w:eastAsia="Times New Roman"/>
                <w:b/>
                <w:bCs/>
                <w:noProof/>
              </w:rPr>
              <w:t>4.1.</w:t>
            </w:r>
            <w:r>
              <w:rPr>
                <w:rFonts w:eastAsiaTheme="minorEastAsia"/>
                <w:noProof/>
                <w:lang w:eastAsia="es-CO"/>
              </w:rPr>
              <w:tab/>
            </w:r>
            <w:r w:rsidRPr="00E07C92">
              <w:rPr>
                <w:rStyle w:val="Hipervnculo"/>
                <w:rFonts w:eastAsia="Times New Roman"/>
                <w:b/>
                <w:bCs/>
                <w:noProof/>
              </w:rPr>
              <w:t>Criterios de selección de casos</w:t>
            </w:r>
            <w:r>
              <w:rPr>
                <w:noProof/>
                <w:webHidden/>
              </w:rPr>
              <w:tab/>
            </w:r>
            <w:r>
              <w:rPr>
                <w:noProof/>
                <w:webHidden/>
              </w:rPr>
              <w:fldChar w:fldCharType="begin"/>
            </w:r>
            <w:r>
              <w:rPr>
                <w:noProof/>
                <w:webHidden/>
              </w:rPr>
              <w:instrText xml:space="preserve"> PAGEREF _Toc225160602 \h </w:instrText>
            </w:r>
            <w:r>
              <w:rPr>
                <w:noProof/>
                <w:webHidden/>
              </w:rPr>
            </w:r>
            <w:r>
              <w:rPr>
                <w:noProof/>
                <w:webHidden/>
              </w:rPr>
              <w:fldChar w:fldCharType="separate"/>
            </w:r>
            <w:r>
              <w:rPr>
                <w:noProof/>
                <w:webHidden/>
              </w:rPr>
              <w:t>23</w:t>
            </w:r>
            <w:r>
              <w:rPr>
                <w:noProof/>
                <w:webHidden/>
              </w:rPr>
              <w:fldChar w:fldCharType="end"/>
            </w:r>
          </w:hyperlink>
        </w:p>
        <w:p w:rsidR="000E3072" w:rsidRDefault="000E3072" w14:paraId="47655DAF" w14:textId="7539B3E5">
          <w:pPr>
            <w:pStyle w:val="TDC2"/>
            <w:tabs>
              <w:tab w:val="left" w:pos="960"/>
              <w:tab w:val="right" w:leader="dot" w:pos="9111"/>
            </w:tabs>
            <w:rPr>
              <w:rFonts w:eastAsiaTheme="minorEastAsia"/>
              <w:noProof/>
              <w:lang w:eastAsia="es-CO"/>
            </w:rPr>
          </w:pPr>
          <w:hyperlink w:history="1" w:anchor="_Toc225160603">
            <w:r w:rsidRPr="00E07C92">
              <w:rPr>
                <w:rStyle w:val="Hipervnculo"/>
                <w:rFonts w:eastAsia="Times New Roman"/>
                <w:b/>
                <w:bCs/>
                <w:noProof/>
              </w:rPr>
              <w:t>4.2.</w:t>
            </w:r>
            <w:r>
              <w:rPr>
                <w:rFonts w:eastAsiaTheme="minorEastAsia"/>
                <w:noProof/>
                <w:lang w:eastAsia="es-CO"/>
              </w:rPr>
              <w:tab/>
            </w:r>
            <w:r w:rsidRPr="00E07C92">
              <w:rPr>
                <w:rStyle w:val="Hipervnculo"/>
                <w:rFonts w:eastAsia="Times New Roman"/>
                <w:b/>
                <w:bCs/>
                <w:noProof/>
              </w:rPr>
              <w:t>Definición de unidades de análisis</w:t>
            </w:r>
            <w:r>
              <w:rPr>
                <w:noProof/>
                <w:webHidden/>
              </w:rPr>
              <w:tab/>
            </w:r>
            <w:r>
              <w:rPr>
                <w:noProof/>
                <w:webHidden/>
              </w:rPr>
              <w:fldChar w:fldCharType="begin"/>
            </w:r>
            <w:r>
              <w:rPr>
                <w:noProof/>
                <w:webHidden/>
              </w:rPr>
              <w:instrText xml:space="preserve"> PAGEREF _Toc225160603 \h </w:instrText>
            </w:r>
            <w:r>
              <w:rPr>
                <w:noProof/>
                <w:webHidden/>
              </w:rPr>
            </w:r>
            <w:r>
              <w:rPr>
                <w:noProof/>
                <w:webHidden/>
              </w:rPr>
              <w:fldChar w:fldCharType="separate"/>
            </w:r>
            <w:r>
              <w:rPr>
                <w:noProof/>
                <w:webHidden/>
              </w:rPr>
              <w:t>24</w:t>
            </w:r>
            <w:r>
              <w:rPr>
                <w:noProof/>
                <w:webHidden/>
              </w:rPr>
              <w:fldChar w:fldCharType="end"/>
            </w:r>
          </w:hyperlink>
        </w:p>
        <w:p w:rsidR="000E3072" w:rsidRDefault="000E3072" w14:paraId="16C7E99A" w14:textId="30797B71">
          <w:pPr>
            <w:pStyle w:val="TDC1"/>
            <w:tabs>
              <w:tab w:val="left" w:pos="480"/>
              <w:tab w:val="right" w:leader="dot" w:pos="9111"/>
            </w:tabs>
            <w:rPr>
              <w:rFonts w:eastAsiaTheme="minorEastAsia"/>
              <w:noProof/>
              <w:lang w:eastAsia="es-CO"/>
            </w:rPr>
          </w:pPr>
          <w:hyperlink w:history="1" w:anchor="_Toc225160604">
            <w:r w:rsidRPr="00E07C92">
              <w:rPr>
                <w:rStyle w:val="Hipervnculo"/>
                <w:b/>
                <w:bCs/>
                <w:noProof/>
              </w:rPr>
              <w:t>5.</w:t>
            </w:r>
            <w:r>
              <w:rPr>
                <w:rFonts w:eastAsiaTheme="minorEastAsia"/>
                <w:noProof/>
                <w:lang w:eastAsia="es-CO"/>
              </w:rPr>
              <w:tab/>
            </w:r>
            <w:r w:rsidRPr="00E07C92">
              <w:rPr>
                <w:rStyle w:val="Hipervnculo"/>
                <w:b/>
                <w:bCs/>
                <w:noProof/>
              </w:rPr>
              <w:t>ANÁLISIS DE RIESGOS EN EL CONTEXTO INTERNACIONAL</w:t>
            </w:r>
            <w:r>
              <w:rPr>
                <w:noProof/>
                <w:webHidden/>
              </w:rPr>
              <w:tab/>
            </w:r>
            <w:r>
              <w:rPr>
                <w:noProof/>
                <w:webHidden/>
              </w:rPr>
              <w:fldChar w:fldCharType="begin"/>
            </w:r>
            <w:r>
              <w:rPr>
                <w:noProof/>
                <w:webHidden/>
              </w:rPr>
              <w:instrText xml:space="preserve"> PAGEREF _Toc225160604 \h </w:instrText>
            </w:r>
            <w:r>
              <w:rPr>
                <w:noProof/>
                <w:webHidden/>
              </w:rPr>
            </w:r>
            <w:r>
              <w:rPr>
                <w:noProof/>
                <w:webHidden/>
              </w:rPr>
              <w:fldChar w:fldCharType="separate"/>
            </w:r>
            <w:r>
              <w:rPr>
                <w:noProof/>
                <w:webHidden/>
              </w:rPr>
              <w:t>24</w:t>
            </w:r>
            <w:r>
              <w:rPr>
                <w:noProof/>
                <w:webHidden/>
              </w:rPr>
              <w:fldChar w:fldCharType="end"/>
            </w:r>
          </w:hyperlink>
        </w:p>
        <w:p w:rsidR="000E3072" w:rsidRDefault="000E3072" w14:paraId="0E59896C" w14:textId="62C1EFF1">
          <w:pPr>
            <w:pStyle w:val="TDC2"/>
            <w:tabs>
              <w:tab w:val="left" w:pos="960"/>
              <w:tab w:val="right" w:leader="dot" w:pos="9111"/>
            </w:tabs>
            <w:rPr>
              <w:rFonts w:eastAsiaTheme="minorEastAsia"/>
              <w:noProof/>
              <w:lang w:eastAsia="es-CO"/>
            </w:rPr>
          </w:pPr>
          <w:hyperlink w:history="1" w:anchor="_Toc225160605">
            <w:r w:rsidRPr="00E07C92">
              <w:rPr>
                <w:rStyle w:val="Hipervnculo"/>
                <w:rFonts w:eastAsia="Times New Roman"/>
                <w:b/>
                <w:bCs/>
                <w:noProof/>
              </w:rPr>
              <w:t>5.1.</w:t>
            </w:r>
            <w:r>
              <w:rPr>
                <w:rFonts w:eastAsiaTheme="minorEastAsia"/>
                <w:noProof/>
                <w:lang w:eastAsia="es-CO"/>
              </w:rPr>
              <w:tab/>
            </w:r>
            <w:r w:rsidRPr="00E07C92">
              <w:rPr>
                <w:rStyle w:val="Hipervnculo"/>
                <w:rFonts w:eastAsia="Times New Roman"/>
                <w:b/>
                <w:bCs/>
                <w:noProof/>
              </w:rPr>
              <w:t>Programas energéticos fallidos</w:t>
            </w:r>
            <w:r>
              <w:rPr>
                <w:noProof/>
                <w:webHidden/>
              </w:rPr>
              <w:tab/>
            </w:r>
            <w:r>
              <w:rPr>
                <w:noProof/>
                <w:webHidden/>
              </w:rPr>
              <w:fldChar w:fldCharType="begin"/>
            </w:r>
            <w:r>
              <w:rPr>
                <w:noProof/>
                <w:webHidden/>
              </w:rPr>
              <w:instrText xml:space="preserve"> PAGEREF _Toc225160605 \h </w:instrText>
            </w:r>
            <w:r>
              <w:rPr>
                <w:noProof/>
                <w:webHidden/>
              </w:rPr>
            </w:r>
            <w:r>
              <w:rPr>
                <w:noProof/>
                <w:webHidden/>
              </w:rPr>
              <w:fldChar w:fldCharType="separate"/>
            </w:r>
            <w:r>
              <w:rPr>
                <w:noProof/>
                <w:webHidden/>
              </w:rPr>
              <w:t>25</w:t>
            </w:r>
            <w:r>
              <w:rPr>
                <w:noProof/>
                <w:webHidden/>
              </w:rPr>
              <w:fldChar w:fldCharType="end"/>
            </w:r>
          </w:hyperlink>
        </w:p>
        <w:p w:rsidR="000E3072" w:rsidRDefault="000E3072" w14:paraId="1BF9AADC" w14:textId="4AF37CBB">
          <w:pPr>
            <w:pStyle w:val="TDC3"/>
            <w:tabs>
              <w:tab w:val="left" w:pos="1440"/>
              <w:tab w:val="right" w:leader="dot" w:pos="9111"/>
            </w:tabs>
            <w:rPr>
              <w:rFonts w:eastAsiaTheme="minorEastAsia"/>
              <w:noProof/>
              <w:lang w:eastAsia="es-CO"/>
            </w:rPr>
          </w:pPr>
          <w:hyperlink w:history="1" w:anchor="_Toc225160606">
            <w:r w:rsidRPr="00E07C92">
              <w:rPr>
                <w:rStyle w:val="Hipervnculo"/>
                <w:b/>
                <w:bCs/>
                <w:noProof/>
              </w:rPr>
              <w:t>5.1.1.</w:t>
            </w:r>
            <w:r>
              <w:rPr>
                <w:rFonts w:eastAsiaTheme="minorEastAsia"/>
                <w:noProof/>
                <w:lang w:eastAsia="es-CO"/>
              </w:rPr>
              <w:tab/>
            </w:r>
            <w:r w:rsidRPr="00E07C92">
              <w:rPr>
                <w:rStyle w:val="Hipervnculo"/>
                <w:b/>
                <w:bCs/>
                <w:noProof/>
              </w:rPr>
              <w:t>Accidente nuclear de Chernóbil (1986)</w:t>
            </w:r>
            <w:r>
              <w:rPr>
                <w:noProof/>
                <w:webHidden/>
              </w:rPr>
              <w:tab/>
            </w:r>
            <w:r>
              <w:rPr>
                <w:noProof/>
                <w:webHidden/>
              </w:rPr>
              <w:fldChar w:fldCharType="begin"/>
            </w:r>
            <w:r>
              <w:rPr>
                <w:noProof/>
                <w:webHidden/>
              </w:rPr>
              <w:instrText xml:space="preserve"> PAGEREF _Toc225160606 \h </w:instrText>
            </w:r>
            <w:r>
              <w:rPr>
                <w:noProof/>
                <w:webHidden/>
              </w:rPr>
            </w:r>
            <w:r>
              <w:rPr>
                <w:noProof/>
                <w:webHidden/>
              </w:rPr>
              <w:fldChar w:fldCharType="separate"/>
            </w:r>
            <w:r>
              <w:rPr>
                <w:noProof/>
                <w:webHidden/>
              </w:rPr>
              <w:t>25</w:t>
            </w:r>
            <w:r>
              <w:rPr>
                <w:noProof/>
                <w:webHidden/>
              </w:rPr>
              <w:fldChar w:fldCharType="end"/>
            </w:r>
          </w:hyperlink>
        </w:p>
        <w:p w:rsidR="000E3072" w:rsidRDefault="000E3072" w14:paraId="541C7D5B" w14:textId="29BBFDC4">
          <w:pPr>
            <w:pStyle w:val="TDC3"/>
            <w:tabs>
              <w:tab w:val="left" w:pos="1440"/>
              <w:tab w:val="right" w:leader="dot" w:pos="9111"/>
            </w:tabs>
            <w:rPr>
              <w:rFonts w:eastAsiaTheme="minorEastAsia"/>
              <w:noProof/>
              <w:lang w:eastAsia="es-CO"/>
            </w:rPr>
          </w:pPr>
          <w:hyperlink w:history="1" w:anchor="_Toc225160607">
            <w:r w:rsidRPr="00E07C92">
              <w:rPr>
                <w:rStyle w:val="Hipervnculo"/>
                <w:b/>
                <w:bCs/>
                <w:noProof/>
                <w:lang w:val="es-ES"/>
              </w:rPr>
              <w:t>5.1.2.</w:t>
            </w:r>
            <w:r>
              <w:rPr>
                <w:rFonts w:eastAsiaTheme="minorEastAsia"/>
                <w:noProof/>
                <w:lang w:eastAsia="es-CO"/>
              </w:rPr>
              <w:tab/>
            </w:r>
            <w:r w:rsidRPr="00E07C92">
              <w:rPr>
                <w:rStyle w:val="Hipervnculo"/>
                <w:b/>
                <w:bCs/>
                <w:noProof/>
                <w:lang w:val="es-ES"/>
              </w:rPr>
              <w:t>Derrame de petróleo de Deepwater Horizon (2010)</w:t>
            </w:r>
            <w:r>
              <w:rPr>
                <w:noProof/>
                <w:webHidden/>
              </w:rPr>
              <w:tab/>
            </w:r>
            <w:r>
              <w:rPr>
                <w:noProof/>
                <w:webHidden/>
              </w:rPr>
              <w:fldChar w:fldCharType="begin"/>
            </w:r>
            <w:r>
              <w:rPr>
                <w:noProof/>
                <w:webHidden/>
              </w:rPr>
              <w:instrText xml:space="preserve"> PAGEREF _Toc225160607 \h </w:instrText>
            </w:r>
            <w:r>
              <w:rPr>
                <w:noProof/>
                <w:webHidden/>
              </w:rPr>
            </w:r>
            <w:r>
              <w:rPr>
                <w:noProof/>
                <w:webHidden/>
              </w:rPr>
              <w:fldChar w:fldCharType="separate"/>
            </w:r>
            <w:r>
              <w:rPr>
                <w:noProof/>
                <w:webHidden/>
              </w:rPr>
              <w:t>27</w:t>
            </w:r>
            <w:r>
              <w:rPr>
                <w:noProof/>
                <w:webHidden/>
              </w:rPr>
              <w:fldChar w:fldCharType="end"/>
            </w:r>
          </w:hyperlink>
        </w:p>
        <w:p w:rsidR="000E3072" w:rsidRDefault="000E3072" w14:paraId="6401F82E" w14:textId="0EFE9484">
          <w:pPr>
            <w:pStyle w:val="TDC2"/>
            <w:tabs>
              <w:tab w:val="left" w:pos="960"/>
              <w:tab w:val="right" w:leader="dot" w:pos="9111"/>
            </w:tabs>
            <w:rPr>
              <w:rFonts w:eastAsiaTheme="minorEastAsia"/>
              <w:noProof/>
              <w:lang w:eastAsia="es-CO"/>
            </w:rPr>
          </w:pPr>
          <w:hyperlink w:history="1" w:anchor="_Toc225160608">
            <w:r w:rsidRPr="00E07C92">
              <w:rPr>
                <w:rStyle w:val="Hipervnculo"/>
                <w:rFonts w:eastAsia="Times New Roman"/>
                <w:b/>
                <w:bCs/>
                <w:noProof/>
              </w:rPr>
              <w:t>5.2.</w:t>
            </w:r>
            <w:r>
              <w:rPr>
                <w:rFonts w:eastAsiaTheme="minorEastAsia"/>
                <w:noProof/>
                <w:lang w:eastAsia="es-CO"/>
              </w:rPr>
              <w:tab/>
            </w:r>
            <w:r w:rsidRPr="00E07C92">
              <w:rPr>
                <w:rStyle w:val="Hipervnculo"/>
                <w:rFonts w:eastAsia="Times New Roman"/>
                <w:b/>
                <w:bCs/>
                <w:noProof/>
              </w:rPr>
              <w:t>Grandes proyectos de infraestructura</w:t>
            </w:r>
            <w:r>
              <w:rPr>
                <w:noProof/>
                <w:webHidden/>
              </w:rPr>
              <w:tab/>
            </w:r>
            <w:r>
              <w:rPr>
                <w:noProof/>
                <w:webHidden/>
              </w:rPr>
              <w:fldChar w:fldCharType="begin"/>
            </w:r>
            <w:r>
              <w:rPr>
                <w:noProof/>
                <w:webHidden/>
              </w:rPr>
              <w:instrText xml:space="preserve"> PAGEREF _Toc225160608 \h </w:instrText>
            </w:r>
            <w:r>
              <w:rPr>
                <w:noProof/>
                <w:webHidden/>
              </w:rPr>
            </w:r>
            <w:r>
              <w:rPr>
                <w:noProof/>
                <w:webHidden/>
              </w:rPr>
              <w:fldChar w:fldCharType="separate"/>
            </w:r>
            <w:r>
              <w:rPr>
                <w:noProof/>
                <w:webHidden/>
              </w:rPr>
              <w:t>28</w:t>
            </w:r>
            <w:r>
              <w:rPr>
                <w:noProof/>
                <w:webHidden/>
              </w:rPr>
              <w:fldChar w:fldCharType="end"/>
            </w:r>
          </w:hyperlink>
        </w:p>
        <w:p w:rsidR="000E3072" w:rsidRDefault="000E3072" w14:paraId="3A9ADAAC" w14:textId="6F57995A">
          <w:pPr>
            <w:pStyle w:val="TDC3"/>
            <w:tabs>
              <w:tab w:val="left" w:pos="1440"/>
              <w:tab w:val="right" w:leader="dot" w:pos="9111"/>
            </w:tabs>
            <w:rPr>
              <w:rFonts w:eastAsiaTheme="minorEastAsia"/>
              <w:noProof/>
              <w:lang w:eastAsia="es-CO"/>
            </w:rPr>
          </w:pPr>
          <w:hyperlink w:history="1" w:anchor="_Toc225160609">
            <w:r w:rsidRPr="00E07C92">
              <w:rPr>
                <w:rStyle w:val="Hipervnculo"/>
                <w:b/>
                <w:bCs/>
                <w:noProof/>
              </w:rPr>
              <w:t>5.2.1.</w:t>
            </w:r>
            <w:r>
              <w:rPr>
                <w:rFonts w:eastAsiaTheme="minorEastAsia"/>
                <w:noProof/>
                <w:lang w:eastAsia="es-CO"/>
              </w:rPr>
              <w:tab/>
            </w:r>
            <w:r w:rsidRPr="00E07C92">
              <w:rPr>
                <w:rStyle w:val="Hipervnculo"/>
                <w:b/>
                <w:bCs/>
                <w:noProof/>
              </w:rPr>
              <w:t>Desastre del Transbordador Espacial Challenger (1986)</w:t>
            </w:r>
            <w:r>
              <w:rPr>
                <w:noProof/>
                <w:webHidden/>
              </w:rPr>
              <w:tab/>
            </w:r>
            <w:r>
              <w:rPr>
                <w:noProof/>
                <w:webHidden/>
              </w:rPr>
              <w:fldChar w:fldCharType="begin"/>
            </w:r>
            <w:r>
              <w:rPr>
                <w:noProof/>
                <w:webHidden/>
              </w:rPr>
              <w:instrText xml:space="preserve"> PAGEREF _Toc225160609 \h </w:instrText>
            </w:r>
            <w:r>
              <w:rPr>
                <w:noProof/>
                <w:webHidden/>
              </w:rPr>
            </w:r>
            <w:r>
              <w:rPr>
                <w:noProof/>
                <w:webHidden/>
              </w:rPr>
              <w:fldChar w:fldCharType="separate"/>
            </w:r>
            <w:r>
              <w:rPr>
                <w:noProof/>
                <w:webHidden/>
              </w:rPr>
              <w:t>29</w:t>
            </w:r>
            <w:r>
              <w:rPr>
                <w:noProof/>
                <w:webHidden/>
              </w:rPr>
              <w:fldChar w:fldCharType="end"/>
            </w:r>
          </w:hyperlink>
        </w:p>
        <w:p w:rsidR="000E3072" w:rsidRDefault="000E3072" w14:paraId="61C3C9C8" w14:textId="1EF2CD53">
          <w:pPr>
            <w:pStyle w:val="TDC3"/>
            <w:tabs>
              <w:tab w:val="left" w:pos="1440"/>
              <w:tab w:val="right" w:leader="dot" w:pos="9111"/>
            </w:tabs>
            <w:rPr>
              <w:rFonts w:eastAsiaTheme="minorEastAsia"/>
              <w:noProof/>
              <w:lang w:eastAsia="es-CO"/>
            </w:rPr>
          </w:pPr>
          <w:hyperlink w:history="1" w:anchor="_Toc225160610">
            <w:r w:rsidRPr="00E07C92">
              <w:rPr>
                <w:rStyle w:val="Hipervnculo"/>
                <w:b/>
                <w:bCs/>
                <w:noProof/>
              </w:rPr>
              <w:t>5.2.2.</w:t>
            </w:r>
            <w:r>
              <w:rPr>
                <w:rFonts w:eastAsiaTheme="minorEastAsia"/>
                <w:noProof/>
                <w:lang w:eastAsia="es-CO"/>
              </w:rPr>
              <w:tab/>
            </w:r>
            <w:r w:rsidRPr="00E07C92">
              <w:rPr>
                <w:rStyle w:val="Hipervnculo"/>
                <w:b/>
                <w:bCs/>
                <w:noProof/>
              </w:rPr>
              <w:t>El colapso de Carillion (2018)</w:t>
            </w:r>
            <w:r>
              <w:rPr>
                <w:noProof/>
                <w:webHidden/>
              </w:rPr>
              <w:tab/>
            </w:r>
            <w:r>
              <w:rPr>
                <w:noProof/>
                <w:webHidden/>
              </w:rPr>
              <w:fldChar w:fldCharType="begin"/>
            </w:r>
            <w:r>
              <w:rPr>
                <w:noProof/>
                <w:webHidden/>
              </w:rPr>
              <w:instrText xml:space="preserve"> PAGEREF _Toc225160610 \h </w:instrText>
            </w:r>
            <w:r>
              <w:rPr>
                <w:noProof/>
                <w:webHidden/>
              </w:rPr>
            </w:r>
            <w:r>
              <w:rPr>
                <w:noProof/>
                <w:webHidden/>
              </w:rPr>
              <w:fldChar w:fldCharType="separate"/>
            </w:r>
            <w:r>
              <w:rPr>
                <w:noProof/>
                <w:webHidden/>
              </w:rPr>
              <w:t>34</w:t>
            </w:r>
            <w:r>
              <w:rPr>
                <w:noProof/>
                <w:webHidden/>
              </w:rPr>
              <w:fldChar w:fldCharType="end"/>
            </w:r>
          </w:hyperlink>
        </w:p>
        <w:p w:rsidR="000E3072" w:rsidRDefault="000E3072" w14:paraId="2F20DA92" w14:textId="3120EAE4">
          <w:pPr>
            <w:pStyle w:val="TDC2"/>
            <w:tabs>
              <w:tab w:val="left" w:pos="960"/>
              <w:tab w:val="right" w:leader="dot" w:pos="9111"/>
            </w:tabs>
            <w:rPr>
              <w:rFonts w:eastAsiaTheme="minorEastAsia"/>
              <w:noProof/>
              <w:lang w:eastAsia="es-CO"/>
            </w:rPr>
          </w:pPr>
          <w:hyperlink w:history="1" w:anchor="_Toc225160611">
            <w:r w:rsidRPr="00E07C92">
              <w:rPr>
                <w:rStyle w:val="Hipervnculo"/>
                <w:rFonts w:eastAsia="Times New Roman"/>
                <w:b/>
                <w:bCs/>
                <w:noProof/>
              </w:rPr>
              <w:t>5.3.</w:t>
            </w:r>
            <w:r>
              <w:rPr>
                <w:rFonts w:eastAsiaTheme="minorEastAsia"/>
                <w:noProof/>
                <w:lang w:eastAsia="es-CO"/>
              </w:rPr>
              <w:tab/>
            </w:r>
            <w:r w:rsidRPr="00E07C92">
              <w:rPr>
                <w:rStyle w:val="Hipervnculo"/>
                <w:rFonts w:eastAsia="Times New Roman"/>
                <w:b/>
                <w:bCs/>
                <w:noProof/>
              </w:rPr>
              <w:t>Programas de subsidios con captura institucional</w:t>
            </w:r>
            <w:r>
              <w:rPr>
                <w:noProof/>
                <w:webHidden/>
              </w:rPr>
              <w:tab/>
            </w:r>
            <w:r>
              <w:rPr>
                <w:noProof/>
                <w:webHidden/>
              </w:rPr>
              <w:fldChar w:fldCharType="begin"/>
            </w:r>
            <w:r>
              <w:rPr>
                <w:noProof/>
                <w:webHidden/>
              </w:rPr>
              <w:instrText xml:space="preserve"> PAGEREF _Toc225160611 \h </w:instrText>
            </w:r>
            <w:r>
              <w:rPr>
                <w:noProof/>
                <w:webHidden/>
              </w:rPr>
            </w:r>
            <w:r>
              <w:rPr>
                <w:noProof/>
                <w:webHidden/>
              </w:rPr>
              <w:fldChar w:fldCharType="separate"/>
            </w:r>
            <w:r>
              <w:rPr>
                <w:noProof/>
                <w:webHidden/>
              </w:rPr>
              <w:t>38</w:t>
            </w:r>
            <w:r>
              <w:rPr>
                <w:noProof/>
                <w:webHidden/>
              </w:rPr>
              <w:fldChar w:fldCharType="end"/>
            </w:r>
          </w:hyperlink>
        </w:p>
        <w:p w:rsidR="000E3072" w:rsidRDefault="000E3072" w14:paraId="1A6DCF82" w14:textId="6B52C0F4">
          <w:pPr>
            <w:pStyle w:val="TDC3"/>
            <w:tabs>
              <w:tab w:val="left" w:pos="1440"/>
              <w:tab w:val="right" w:leader="dot" w:pos="9111"/>
            </w:tabs>
            <w:rPr>
              <w:rFonts w:eastAsiaTheme="minorEastAsia"/>
              <w:noProof/>
              <w:lang w:eastAsia="es-CO"/>
            </w:rPr>
          </w:pPr>
          <w:hyperlink w:history="1" w:anchor="_Toc225160612">
            <w:r w:rsidRPr="00E07C92">
              <w:rPr>
                <w:rStyle w:val="Hipervnculo"/>
                <w:rFonts w:ascii="Aptos" w:hAnsi="Aptos" w:eastAsia="Aptos" w:cs="Aptos"/>
                <w:b/>
                <w:bCs/>
                <w:noProof/>
              </w:rPr>
              <w:t>5.3.1.</w:t>
            </w:r>
            <w:r>
              <w:rPr>
                <w:rFonts w:eastAsiaTheme="minorEastAsia"/>
                <w:noProof/>
                <w:lang w:eastAsia="es-CO"/>
              </w:rPr>
              <w:tab/>
            </w:r>
            <w:r w:rsidRPr="00E07C92">
              <w:rPr>
                <w:rStyle w:val="Hipervnculo"/>
                <w:b/>
                <w:bCs/>
                <w:noProof/>
              </w:rPr>
              <w:t>Programa de subsidios a combustibles, implementado en Nigeria</w:t>
            </w:r>
            <w:r>
              <w:rPr>
                <w:noProof/>
                <w:webHidden/>
              </w:rPr>
              <w:tab/>
            </w:r>
            <w:r>
              <w:rPr>
                <w:noProof/>
                <w:webHidden/>
              </w:rPr>
              <w:fldChar w:fldCharType="begin"/>
            </w:r>
            <w:r>
              <w:rPr>
                <w:noProof/>
                <w:webHidden/>
              </w:rPr>
              <w:instrText xml:space="preserve"> PAGEREF _Toc225160612 \h </w:instrText>
            </w:r>
            <w:r>
              <w:rPr>
                <w:noProof/>
                <w:webHidden/>
              </w:rPr>
            </w:r>
            <w:r>
              <w:rPr>
                <w:noProof/>
                <w:webHidden/>
              </w:rPr>
              <w:fldChar w:fldCharType="separate"/>
            </w:r>
            <w:r>
              <w:rPr>
                <w:noProof/>
                <w:webHidden/>
              </w:rPr>
              <w:t>39</w:t>
            </w:r>
            <w:r>
              <w:rPr>
                <w:noProof/>
                <w:webHidden/>
              </w:rPr>
              <w:fldChar w:fldCharType="end"/>
            </w:r>
          </w:hyperlink>
        </w:p>
        <w:p w:rsidR="000E3072" w:rsidRDefault="000E3072" w14:paraId="01BE781C" w14:textId="7305231D">
          <w:pPr>
            <w:pStyle w:val="TDC3"/>
            <w:tabs>
              <w:tab w:val="left" w:pos="1440"/>
              <w:tab w:val="right" w:leader="dot" w:pos="9111"/>
            </w:tabs>
            <w:rPr>
              <w:rFonts w:eastAsiaTheme="minorEastAsia"/>
              <w:noProof/>
              <w:lang w:eastAsia="es-CO"/>
            </w:rPr>
          </w:pPr>
          <w:hyperlink w:history="1" w:anchor="_Toc225160613">
            <w:r w:rsidRPr="00E07C92">
              <w:rPr>
                <w:rStyle w:val="Hipervnculo"/>
                <w:b/>
                <w:bCs/>
                <w:noProof/>
              </w:rPr>
              <w:t>5.3.2.</w:t>
            </w:r>
            <w:r>
              <w:rPr>
                <w:rFonts w:eastAsiaTheme="minorEastAsia"/>
                <w:noProof/>
                <w:lang w:eastAsia="es-CO"/>
              </w:rPr>
              <w:tab/>
            </w:r>
            <w:r w:rsidRPr="00E07C92">
              <w:rPr>
                <w:rStyle w:val="Hipervnculo"/>
                <w:b/>
                <w:bCs/>
                <w:noProof/>
              </w:rPr>
              <w:t>Subsidios energéticos implementados en Argentina</w:t>
            </w:r>
            <w:r>
              <w:rPr>
                <w:noProof/>
                <w:webHidden/>
              </w:rPr>
              <w:tab/>
            </w:r>
            <w:r>
              <w:rPr>
                <w:noProof/>
                <w:webHidden/>
              </w:rPr>
              <w:fldChar w:fldCharType="begin"/>
            </w:r>
            <w:r>
              <w:rPr>
                <w:noProof/>
                <w:webHidden/>
              </w:rPr>
              <w:instrText xml:space="preserve"> PAGEREF _Toc225160613 \h </w:instrText>
            </w:r>
            <w:r>
              <w:rPr>
                <w:noProof/>
                <w:webHidden/>
              </w:rPr>
            </w:r>
            <w:r>
              <w:rPr>
                <w:noProof/>
                <w:webHidden/>
              </w:rPr>
              <w:fldChar w:fldCharType="separate"/>
            </w:r>
            <w:r>
              <w:rPr>
                <w:noProof/>
                <w:webHidden/>
              </w:rPr>
              <w:t>42</w:t>
            </w:r>
            <w:r>
              <w:rPr>
                <w:noProof/>
                <w:webHidden/>
              </w:rPr>
              <w:fldChar w:fldCharType="end"/>
            </w:r>
          </w:hyperlink>
        </w:p>
        <w:p w:rsidR="000E3072" w:rsidRDefault="000E3072" w14:paraId="03128166" w14:textId="37495B4E">
          <w:pPr>
            <w:pStyle w:val="TDC2"/>
            <w:tabs>
              <w:tab w:val="left" w:pos="960"/>
              <w:tab w:val="right" w:leader="dot" w:pos="9111"/>
            </w:tabs>
            <w:rPr>
              <w:rFonts w:eastAsiaTheme="minorEastAsia"/>
              <w:noProof/>
              <w:lang w:eastAsia="es-CO"/>
            </w:rPr>
          </w:pPr>
          <w:hyperlink w:history="1" w:anchor="_Toc225160614">
            <w:r w:rsidRPr="00E07C92">
              <w:rPr>
                <w:rStyle w:val="Hipervnculo"/>
                <w:rFonts w:eastAsia="Times New Roman"/>
                <w:b/>
                <w:bCs/>
                <w:noProof/>
              </w:rPr>
              <w:t>5.4.</w:t>
            </w:r>
            <w:r>
              <w:rPr>
                <w:rFonts w:eastAsiaTheme="minorEastAsia"/>
                <w:noProof/>
                <w:lang w:eastAsia="es-CO"/>
              </w:rPr>
              <w:tab/>
            </w:r>
            <w:r w:rsidRPr="00E07C92">
              <w:rPr>
                <w:rStyle w:val="Hipervnculo"/>
                <w:rFonts w:eastAsia="Times New Roman"/>
                <w:b/>
                <w:noProof/>
              </w:rPr>
              <w:t>Crisis sanitarias con fallas organizacionales</w:t>
            </w:r>
            <w:r>
              <w:rPr>
                <w:noProof/>
                <w:webHidden/>
              </w:rPr>
              <w:tab/>
            </w:r>
            <w:r>
              <w:rPr>
                <w:noProof/>
                <w:webHidden/>
              </w:rPr>
              <w:fldChar w:fldCharType="begin"/>
            </w:r>
            <w:r>
              <w:rPr>
                <w:noProof/>
                <w:webHidden/>
              </w:rPr>
              <w:instrText xml:space="preserve"> PAGEREF _Toc225160614 \h </w:instrText>
            </w:r>
            <w:r>
              <w:rPr>
                <w:noProof/>
                <w:webHidden/>
              </w:rPr>
            </w:r>
            <w:r>
              <w:rPr>
                <w:noProof/>
                <w:webHidden/>
              </w:rPr>
              <w:fldChar w:fldCharType="separate"/>
            </w:r>
            <w:r>
              <w:rPr>
                <w:noProof/>
                <w:webHidden/>
              </w:rPr>
              <w:t>44</w:t>
            </w:r>
            <w:r>
              <w:rPr>
                <w:noProof/>
                <w:webHidden/>
              </w:rPr>
              <w:fldChar w:fldCharType="end"/>
            </w:r>
          </w:hyperlink>
        </w:p>
        <w:p w:rsidR="000E3072" w:rsidRDefault="000E3072" w14:paraId="77FAD482" w14:textId="0DDF3DE9">
          <w:pPr>
            <w:pStyle w:val="TDC3"/>
            <w:tabs>
              <w:tab w:val="left" w:pos="1440"/>
              <w:tab w:val="right" w:leader="dot" w:pos="9111"/>
            </w:tabs>
            <w:rPr>
              <w:rFonts w:eastAsiaTheme="minorEastAsia"/>
              <w:noProof/>
              <w:lang w:eastAsia="es-CO"/>
            </w:rPr>
          </w:pPr>
          <w:hyperlink w:history="1" w:anchor="_Toc225160615">
            <w:r w:rsidRPr="00E07C92">
              <w:rPr>
                <w:rStyle w:val="Hipervnculo"/>
                <w:b/>
                <w:bCs/>
                <w:noProof/>
              </w:rPr>
              <w:t>5.4.1.</w:t>
            </w:r>
            <w:r>
              <w:rPr>
                <w:rFonts w:eastAsiaTheme="minorEastAsia"/>
                <w:noProof/>
                <w:lang w:eastAsia="es-CO"/>
              </w:rPr>
              <w:tab/>
            </w:r>
            <w:r w:rsidRPr="00E07C92">
              <w:rPr>
                <w:rStyle w:val="Hipervnculo"/>
                <w:b/>
                <w:bCs/>
                <w:noProof/>
              </w:rPr>
              <w:t>Programa de vacunación contra el dengue en Filipinas (2016–2017)</w:t>
            </w:r>
            <w:r>
              <w:rPr>
                <w:noProof/>
                <w:webHidden/>
              </w:rPr>
              <w:tab/>
            </w:r>
            <w:r>
              <w:rPr>
                <w:noProof/>
                <w:webHidden/>
              </w:rPr>
              <w:fldChar w:fldCharType="begin"/>
            </w:r>
            <w:r>
              <w:rPr>
                <w:noProof/>
                <w:webHidden/>
              </w:rPr>
              <w:instrText xml:space="preserve"> PAGEREF _Toc225160615 \h </w:instrText>
            </w:r>
            <w:r>
              <w:rPr>
                <w:noProof/>
                <w:webHidden/>
              </w:rPr>
            </w:r>
            <w:r>
              <w:rPr>
                <w:noProof/>
                <w:webHidden/>
              </w:rPr>
              <w:fldChar w:fldCharType="separate"/>
            </w:r>
            <w:r>
              <w:rPr>
                <w:noProof/>
                <w:webHidden/>
              </w:rPr>
              <w:t>45</w:t>
            </w:r>
            <w:r>
              <w:rPr>
                <w:noProof/>
                <w:webHidden/>
              </w:rPr>
              <w:fldChar w:fldCharType="end"/>
            </w:r>
          </w:hyperlink>
        </w:p>
        <w:p w:rsidR="000E3072" w:rsidRDefault="000E3072" w14:paraId="6CB787BD" w14:textId="44979CA2">
          <w:pPr>
            <w:pStyle w:val="TDC2"/>
            <w:tabs>
              <w:tab w:val="left" w:pos="960"/>
              <w:tab w:val="right" w:leader="dot" w:pos="9111"/>
            </w:tabs>
            <w:rPr>
              <w:rFonts w:eastAsiaTheme="minorEastAsia"/>
              <w:noProof/>
              <w:lang w:eastAsia="es-CO"/>
            </w:rPr>
          </w:pPr>
          <w:hyperlink w:history="1" w:anchor="_Toc225160616">
            <w:r w:rsidRPr="00E07C92">
              <w:rPr>
                <w:rStyle w:val="Hipervnculo"/>
                <w:rFonts w:eastAsia="Times New Roman"/>
                <w:b/>
                <w:bCs/>
                <w:noProof/>
              </w:rPr>
              <w:t>5.5.</w:t>
            </w:r>
            <w:r>
              <w:rPr>
                <w:rFonts w:eastAsiaTheme="minorEastAsia"/>
                <w:noProof/>
                <w:lang w:eastAsia="es-CO"/>
              </w:rPr>
              <w:tab/>
            </w:r>
            <w:r w:rsidRPr="00E07C92">
              <w:rPr>
                <w:rStyle w:val="Hipervnculo"/>
                <w:rFonts w:eastAsia="Times New Roman"/>
                <w:b/>
                <w:noProof/>
              </w:rPr>
              <w:t>Escándalos regulatorios documentados</w:t>
            </w:r>
            <w:r>
              <w:rPr>
                <w:noProof/>
                <w:webHidden/>
              </w:rPr>
              <w:tab/>
            </w:r>
            <w:r>
              <w:rPr>
                <w:noProof/>
                <w:webHidden/>
              </w:rPr>
              <w:fldChar w:fldCharType="begin"/>
            </w:r>
            <w:r>
              <w:rPr>
                <w:noProof/>
                <w:webHidden/>
              </w:rPr>
              <w:instrText xml:space="preserve"> PAGEREF _Toc225160616 \h </w:instrText>
            </w:r>
            <w:r>
              <w:rPr>
                <w:noProof/>
                <w:webHidden/>
              </w:rPr>
            </w:r>
            <w:r>
              <w:rPr>
                <w:noProof/>
                <w:webHidden/>
              </w:rPr>
              <w:fldChar w:fldCharType="separate"/>
            </w:r>
            <w:r>
              <w:rPr>
                <w:noProof/>
                <w:webHidden/>
              </w:rPr>
              <w:t>49</w:t>
            </w:r>
            <w:r>
              <w:rPr>
                <w:noProof/>
                <w:webHidden/>
              </w:rPr>
              <w:fldChar w:fldCharType="end"/>
            </w:r>
          </w:hyperlink>
        </w:p>
        <w:p w:rsidR="000E3072" w:rsidRDefault="000E3072" w14:paraId="57DF546C" w14:textId="25352F85">
          <w:pPr>
            <w:pStyle w:val="TDC3"/>
            <w:tabs>
              <w:tab w:val="left" w:pos="1440"/>
              <w:tab w:val="right" w:leader="dot" w:pos="9111"/>
            </w:tabs>
            <w:rPr>
              <w:rFonts w:eastAsiaTheme="minorEastAsia"/>
              <w:noProof/>
              <w:lang w:eastAsia="es-CO"/>
            </w:rPr>
          </w:pPr>
          <w:hyperlink w:history="1" w:anchor="_Toc225160617">
            <w:r w:rsidRPr="00E07C92">
              <w:rPr>
                <w:rStyle w:val="Hipervnculo"/>
                <w:b/>
                <w:noProof/>
                <w:lang w:val="en-US"/>
              </w:rPr>
              <w:t>5.5.1.</w:t>
            </w:r>
            <w:r>
              <w:rPr>
                <w:rFonts w:eastAsiaTheme="minorEastAsia"/>
                <w:noProof/>
                <w:lang w:eastAsia="es-CO"/>
              </w:rPr>
              <w:tab/>
            </w:r>
            <w:r w:rsidRPr="00E07C92">
              <w:rPr>
                <w:rStyle w:val="Hipervnculo"/>
                <w:b/>
                <w:noProof/>
                <w:lang w:val="en-US"/>
              </w:rPr>
              <w:t>Dieselgate (Volkswagen Emissions Scandal)</w:t>
            </w:r>
            <w:r>
              <w:rPr>
                <w:noProof/>
                <w:webHidden/>
              </w:rPr>
              <w:tab/>
            </w:r>
            <w:r>
              <w:rPr>
                <w:noProof/>
                <w:webHidden/>
              </w:rPr>
              <w:fldChar w:fldCharType="begin"/>
            </w:r>
            <w:r>
              <w:rPr>
                <w:noProof/>
                <w:webHidden/>
              </w:rPr>
              <w:instrText xml:space="preserve"> PAGEREF _Toc225160617 \h </w:instrText>
            </w:r>
            <w:r>
              <w:rPr>
                <w:noProof/>
                <w:webHidden/>
              </w:rPr>
            </w:r>
            <w:r>
              <w:rPr>
                <w:noProof/>
                <w:webHidden/>
              </w:rPr>
              <w:fldChar w:fldCharType="separate"/>
            </w:r>
            <w:r>
              <w:rPr>
                <w:noProof/>
                <w:webHidden/>
              </w:rPr>
              <w:t>49</w:t>
            </w:r>
            <w:r>
              <w:rPr>
                <w:noProof/>
                <w:webHidden/>
              </w:rPr>
              <w:fldChar w:fldCharType="end"/>
            </w:r>
          </w:hyperlink>
        </w:p>
        <w:p w:rsidR="000E3072" w:rsidRDefault="000E3072" w14:paraId="2DB68954" w14:textId="5E5FC7DE">
          <w:pPr>
            <w:pStyle w:val="TDC3"/>
            <w:tabs>
              <w:tab w:val="left" w:pos="1440"/>
              <w:tab w:val="right" w:leader="dot" w:pos="9111"/>
            </w:tabs>
            <w:rPr>
              <w:rFonts w:eastAsiaTheme="minorEastAsia"/>
              <w:noProof/>
              <w:lang w:eastAsia="es-CO"/>
            </w:rPr>
          </w:pPr>
          <w:hyperlink w:history="1" w:anchor="_Toc225160618">
            <w:r w:rsidRPr="00E07C92">
              <w:rPr>
                <w:rStyle w:val="Hipervnculo"/>
                <w:b/>
                <w:bCs/>
                <w:noProof/>
                <w:lang w:val="en-US"/>
              </w:rPr>
              <w:t>5.5.2.</w:t>
            </w:r>
            <w:r>
              <w:rPr>
                <w:rFonts w:eastAsiaTheme="minorEastAsia"/>
                <w:noProof/>
                <w:lang w:eastAsia="es-CO"/>
              </w:rPr>
              <w:tab/>
            </w:r>
            <w:r w:rsidRPr="00E07C92">
              <w:rPr>
                <w:rStyle w:val="Hipervnculo"/>
                <w:b/>
                <w:bCs/>
                <w:noProof/>
              </w:rPr>
              <w:t>Theranos: el fraude en la tecnología de los cuidados de salud</w:t>
            </w:r>
            <w:r>
              <w:rPr>
                <w:noProof/>
                <w:webHidden/>
              </w:rPr>
              <w:tab/>
            </w:r>
            <w:r>
              <w:rPr>
                <w:noProof/>
                <w:webHidden/>
              </w:rPr>
              <w:fldChar w:fldCharType="begin"/>
            </w:r>
            <w:r>
              <w:rPr>
                <w:noProof/>
                <w:webHidden/>
              </w:rPr>
              <w:instrText xml:space="preserve"> PAGEREF _Toc225160618 \h </w:instrText>
            </w:r>
            <w:r>
              <w:rPr>
                <w:noProof/>
                <w:webHidden/>
              </w:rPr>
            </w:r>
            <w:r>
              <w:rPr>
                <w:noProof/>
                <w:webHidden/>
              </w:rPr>
              <w:fldChar w:fldCharType="separate"/>
            </w:r>
            <w:r>
              <w:rPr>
                <w:noProof/>
                <w:webHidden/>
              </w:rPr>
              <w:t>51</w:t>
            </w:r>
            <w:r>
              <w:rPr>
                <w:noProof/>
                <w:webHidden/>
              </w:rPr>
              <w:fldChar w:fldCharType="end"/>
            </w:r>
          </w:hyperlink>
        </w:p>
        <w:p w:rsidR="000E3072" w:rsidRDefault="000E3072" w14:paraId="4EBF2A0A" w14:textId="1C83C5CC">
          <w:pPr>
            <w:pStyle w:val="TDC1"/>
            <w:tabs>
              <w:tab w:val="left" w:pos="480"/>
              <w:tab w:val="right" w:leader="dot" w:pos="9111"/>
            </w:tabs>
            <w:rPr>
              <w:rFonts w:eastAsiaTheme="minorEastAsia"/>
              <w:noProof/>
              <w:lang w:eastAsia="es-CO"/>
            </w:rPr>
          </w:pPr>
          <w:hyperlink w:history="1" w:anchor="_Toc225160619">
            <w:r w:rsidRPr="00E07C92">
              <w:rPr>
                <w:rStyle w:val="Hipervnculo"/>
                <w:b/>
                <w:bCs/>
                <w:noProof/>
              </w:rPr>
              <w:t>6.</w:t>
            </w:r>
            <w:r>
              <w:rPr>
                <w:rFonts w:eastAsiaTheme="minorEastAsia"/>
                <w:noProof/>
                <w:lang w:eastAsia="es-CO"/>
              </w:rPr>
              <w:tab/>
            </w:r>
            <w:r w:rsidRPr="00E07C92">
              <w:rPr>
                <w:rStyle w:val="Hipervnculo"/>
                <w:b/>
                <w:bCs/>
                <w:noProof/>
              </w:rPr>
              <w:t>MATRIZ COMPARATIVA</w:t>
            </w:r>
            <w:r>
              <w:rPr>
                <w:noProof/>
                <w:webHidden/>
              </w:rPr>
              <w:tab/>
            </w:r>
            <w:r>
              <w:rPr>
                <w:noProof/>
                <w:webHidden/>
              </w:rPr>
              <w:fldChar w:fldCharType="begin"/>
            </w:r>
            <w:r>
              <w:rPr>
                <w:noProof/>
                <w:webHidden/>
              </w:rPr>
              <w:instrText xml:space="preserve"> PAGEREF _Toc225160619 \h </w:instrText>
            </w:r>
            <w:r>
              <w:rPr>
                <w:noProof/>
                <w:webHidden/>
              </w:rPr>
            </w:r>
            <w:r>
              <w:rPr>
                <w:noProof/>
                <w:webHidden/>
              </w:rPr>
              <w:fldChar w:fldCharType="separate"/>
            </w:r>
            <w:r>
              <w:rPr>
                <w:noProof/>
                <w:webHidden/>
              </w:rPr>
              <w:t>54</w:t>
            </w:r>
            <w:r>
              <w:rPr>
                <w:noProof/>
                <w:webHidden/>
              </w:rPr>
              <w:fldChar w:fldCharType="end"/>
            </w:r>
          </w:hyperlink>
        </w:p>
        <w:p w:rsidR="000E3072" w:rsidRDefault="000E3072" w14:paraId="16BCA943" w14:textId="1180B64F">
          <w:pPr>
            <w:pStyle w:val="TDC1"/>
            <w:tabs>
              <w:tab w:val="right" w:leader="dot" w:pos="9111"/>
            </w:tabs>
            <w:rPr>
              <w:rFonts w:eastAsiaTheme="minorEastAsia"/>
              <w:noProof/>
              <w:lang w:eastAsia="es-CO"/>
            </w:rPr>
          </w:pPr>
          <w:hyperlink w:history="1" w:anchor="_Toc225160620">
            <w:r w:rsidRPr="00E07C92">
              <w:rPr>
                <w:rStyle w:val="Hipervnculo"/>
                <w:b/>
                <w:bCs/>
                <w:noProof/>
              </w:rPr>
              <w:t>7. PATRONES ORGANIZACIONALES Y TIPOLOGÍA DEL RIESGO</w:t>
            </w:r>
            <w:r>
              <w:rPr>
                <w:noProof/>
                <w:webHidden/>
              </w:rPr>
              <w:tab/>
            </w:r>
            <w:r>
              <w:rPr>
                <w:noProof/>
                <w:webHidden/>
              </w:rPr>
              <w:fldChar w:fldCharType="begin"/>
            </w:r>
            <w:r>
              <w:rPr>
                <w:noProof/>
                <w:webHidden/>
              </w:rPr>
              <w:instrText xml:space="preserve"> PAGEREF _Toc225160620 \h </w:instrText>
            </w:r>
            <w:r>
              <w:rPr>
                <w:noProof/>
                <w:webHidden/>
              </w:rPr>
            </w:r>
            <w:r>
              <w:rPr>
                <w:noProof/>
                <w:webHidden/>
              </w:rPr>
              <w:fldChar w:fldCharType="separate"/>
            </w:r>
            <w:r>
              <w:rPr>
                <w:noProof/>
                <w:webHidden/>
              </w:rPr>
              <w:t>59</w:t>
            </w:r>
            <w:r>
              <w:rPr>
                <w:noProof/>
                <w:webHidden/>
              </w:rPr>
              <w:fldChar w:fldCharType="end"/>
            </w:r>
          </w:hyperlink>
        </w:p>
        <w:p w:rsidR="000E3072" w:rsidRDefault="000E3072" w14:paraId="5EB62AD5" w14:textId="25653DD7">
          <w:pPr>
            <w:pStyle w:val="TDC1"/>
            <w:tabs>
              <w:tab w:val="left" w:pos="480"/>
              <w:tab w:val="right" w:leader="dot" w:pos="9111"/>
            </w:tabs>
            <w:rPr>
              <w:rFonts w:eastAsiaTheme="minorEastAsia"/>
              <w:noProof/>
              <w:lang w:eastAsia="es-CO"/>
            </w:rPr>
          </w:pPr>
          <w:hyperlink w:history="1" w:anchor="_Toc225160621">
            <w:r w:rsidRPr="00E07C92">
              <w:rPr>
                <w:rStyle w:val="Hipervnculo"/>
                <w:b/>
                <w:bCs/>
                <w:noProof/>
              </w:rPr>
              <w:t>8.</w:t>
            </w:r>
            <w:r>
              <w:rPr>
                <w:rFonts w:eastAsiaTheme="minorEastAsia"/>
                <w:noProof/>
                <w:lang w:eastAsia="es-CO"/>
              </w:rPr>
              <w:tab/>
            </w:r>
            <w:r w:rsidRPr="00E07C92">
              <w:rPr>
                <w:rStyle w:val="Hipervnculo"/>
                <w:b/>
                <w:bCs/>
                <w:noProof/>
              </w:rPr>
              <w:t>METODOLOGÍAS DE RIESGOS EN POLÍTICA PÚBLICA</w:t>
            </w:r>
            <w:r>
              <w:rPr>
                <w:noProof/>
                <w:webHidden/>
              </w:rPr>
              <w:tab/>
            </w:r>
            <w:r>
              <w:rPr>
                <w:noProof/>
                <w:webHidden/>
              </w:rPr>
              <w:fldChar w:fldCharType="begin"/>
            </w:r>
            <w:r>
              <w:rPr>
                <w:noProof/>
                <w:webHidden/>
              </w:rPr>
              <w:instrText xml:space="preserve"> PAGEREF _Toc225160621 \h </w:instrText>
            </w:r>
            <w:r>
              <w:rPr>
                <w:noProof/>
                <w:webHidden/>
              </w:rPr>
            </w:r>
            <w:r>
              <w:rPr>
                <w:noProof/>
                <w:webHidden/>
              </w:rPr>
              <w:fldChar w:fldCharType="separate"/>
            </w:r>
            <w:r>
              <w:rPr>
                <w:noProof/>
                <w:webHidden/>
              </w:rPr>
              <w:t>62</w:t>
            </w:r>
            <w:r>
              <w:rPr>
                <w:noProof/>
                <w:webHidden/>
              </w:rPr>
              <w:fldChar w:fldCharType="end"/>
            </w:r>
          </w:hyperlink>
        </w:p>
        <w:p w:rsidR="000E3072" w:rsidRDefault="000E3072" w14:paraId="0D960FC3" w14:textId="4796935B">
          <w:pPr>
            <w:pStyle w:val="TDC2"/>
            <w:tabs>
              <w:tab w:val="left" w:pos="720"/>
              <w:tab w:val="right" w:leader="dot" w:pos="9111"/>
            </w:tabs>
            <w:rPr>
              <w:rFonts w:eastAsiaTheme="minorEastAsia"/>
              <w:noProof/>
              <w:lang w:eastAsia="es-CO"/>
            </w:rPr>
          </w:pPr>
          <w:hyperlink w:history="1" w:anchor="_Toc225160622">
            <w:r w:rsidRPr="00E07C92">
              <w:rPr>
                <w:rStyle w:val="Hipervnculo"/>
                <w:b/>
                <w:bCs/>
                <w:noProof/>
              </w:rPr>
              <w:t>a.</w:t>
            </w:r>
            <w:r>
              <w:rPr>
                <w:rFonts w:eastAsiaTheme="minorEastAsia"/>
                <w:noProof/>
                <w:lang w:eastAsia="es-CO"/>
              </w:rPr>
              <w:tab/>
            </w:r>
            <w:r w:rsidRPr="00E07C92">
              <w:rPr>
                <w:rStyle w:val="Hipervnculo"/>
                <w:b/>
                <w:bCs/>
                <w:noProof/>
              </w:rPr>
              <w:t>Enfoque Bardach</w:t>
            </w:r>
            <w:r>
              <w:rPr>
                <w:noProof/>
                <w:webHidden/>
              </w:rPr>
              <w:tab/>
            </w:r>
            <w:r>
              <w:rPr>
                <w:noProof/>
                <w:webHidden/>
              </w:rPr>
              <w:fldChar w:fldCharType="begin"/>
            </w:r>
            <w:r>
              <w:rPr>
                <w:noProof/>
                <w:webHidden/>
              </w:rPr>
              <w:instrText xml:space="preserve"> PAGEREF _Toc225160622 \h </w:instrText>
            </w:r>
            <w:r>
              <w:rPr>
                <w:noProof/>
                <w:webHidden/>
              </w:rPr>
            </w:r>
            <w:r>
              <w:rPr>
                <w:noProof/>
                <w:webHidden/>
              </w:rPr>
              <w:fldChar w:fldCharType="separate"/>
            </w:r>
            <w:r>
              <w:rPr>
                <w:noProof/>
                <w:webHidden/>
              </w:rPr>
              <w:t>64</w:t>
            </w:r>
            <w:r>
              <w:rPr>
                <w:noProof/>
                <w:webHidden/>
              </w:rPr>
              <w:fldChar w:fldCharType="end"/>
            </w:r>
          </w:hyperlink>
        </w:p>
        <w:p w:rsidR="000E3072" w:rsidRDefault="000E3072" w14:paraId="50E77246" w14:textId="6D9AEFDF">
          <w:pPr>
            <w:pStyle w:val="TDC1"/>
            <w:tabs>
              <w:tab w:val="left" w:pos="480"/>
              <w:tab w:val="right" w:leader="dot" w:pos="9111"/>
            </w:tabs>
            <w:rPr>
              <w:rFonts w:eastAsiaTheme="minorEastAsia"/>
              <w:noProof/>
              <w:lang w:eastAsia="es-CO"/>
            </w:rPr>
          </w:pPr>
          <w:hyperlink w:history="1" w:anchor="_Toc225160623">
            <w:r w:rsidRPr="00E07C92">
              <w:rPr>
                <w:rStyle w:val="Hipervnculo"/>
                <w:b/>
                <w:bCs/>
                <w:noProof/>
              </w:rPr>
              <w:t>9.</w:t>
            </w:r>
            <w:r>
              <w:rPr>
                <w:rFonts w:eastAsiaTheme="minorEastAsia"/>
                <w:noProof/>
                <w:lang w:eastAsia="es-CO"/>
              </w:rPr>
              <w:tab/>
            </w:r>
            <w:r w:rsidRPr="00E07C92">
              <w:rPr>
                <w:rStyle w:val="Hipervnculo"/>
                <w:b/>
                <w:bCs/>
                <w:noProof/>
              </w:rPr>
              <w:t>MATRIZ METODOLÓGICA DE ANÁLISIS DE RIESGOS EN POLÍTICAS PÚBLICAS</w:t>
            </w:r>
            <w:r>
              <w:rPr>
                <w:noProof/>
                <w:webHidden/>
              </w:rPr>
              <w:tab/>
            </w:r>
            <w:r>
              <w:rPr>
                <w:noProof/>
                <w:webHidden/>
              </w:rPr>
              <w:fldChar w:fldCharType="begin"/>
            </w:r>
            <w:r>
              <w:rPr>
                <w:noProof/>
                <w:webHidden/>
              </w:rPr>
              <w:instrText xml:space="preserve"> PAGEREF _Toc225160623 \h </w:instrText>
            </w:r>
            <w:r>
              <w:rPr>
                <w:noProof/>
                <w:webHidden/>
              </w:rPr>
            </w:r>
            <w:r>
              <w:rPr>
                <w:noProof/>
                <w:webHidden/>
              </w:rPr>
              <w:fldChar w:fldCharType="separate"/>
            </w:r>
            <w:r>
              <w:rPr>
                <w:noProof/>
                <w:webHidden/>
              </w:rPr>
              <w:t>68</w:t>
            </w:r>
            <w:r>
              <w:rPr>
                <w:noProof/>
                <w:webHidden/>
              </w:rPr>
              <w:fldChar w:fldCharType="end"/>
            </w:r>
          </w:hyperlink>
        </w:p>
        <w:p w:rsidR="000E3072" w:rsidRDefault="000E3072" w14:paraId="5A17B760" w14:textId="20DB5681">
          <w:pPr>
            <w:pStyle w:val="TDC1"/>
            <w:tabs>
              <w:tab w:val="left" w:pos="720"/>
              <w:tab w:val="right" w:leader="dot" w:pos="9111"/>
            </w:tabs>
            <w:rPr>
              <w:rFonts w:eastAsiaTheme="minorEastAsia"/>
              <w:noProof/>
              <w:lang w:eastAsia="es-CO"/>
            </w:rPr>
          </w:pPr>
          <w:hyperlink w:history="1" w:anchor="_Toc225160624">
            <w:r w:rsidRPr="00E07C92">
              <w:rPr>
                <w:rStyle w:val="Hipervnculo"/>
                <w:b/>
                <w:bCs/>
                <w:noProof/>
              </w:rPr>
              <w:t>10.</w:t>
            </w:r>
            <w:r>
              <w:rPr>
                <w:rFonts w:eastAsiaTheme="minorEastAsia"/>
                <w:noProof/>
                <w:lang w:eastAsia="es-CO"/>
              </w:rPr>
              <w:tab/>
            </w:r>
            <w:r w:rsidRPr="00E07C92">
              <w:rPr>
                <w:rStyle w:val="Hipervnculo"/>
                <w:b/>
                <w:bCs/>
                <w:noProof/>
              </w:rPr>
              <w:t>INDICADORES PREVENTIVOS</w:t>
            </w:r>
            <w:r>
              <w:rPr>
                <w:noProof/>
                <w:webHidden/>
              </w:rPr>
              <w:tab/>
            </w:r>
            <w:r>
              <w:rPr>
                <w:noProof/>
                <w:webHidden/>
              </w:rPr>
              <w:fldChar w:fldCharType="begin"/>
            </w:r>
            <w:r>
              <w:rPr>
                <w:noProof/>
                <w:webHidden/>
              </w:rPr>
              <w:instrText xml:space="preserve"> PAGEREF _Toc225160624 \h </w:instrText>
            </w:r>
            <w:r>
              <w:rPr>
                <w:noProof/>
                <w:webHidden/>
              </w:rPr>
            </w:r>
            <w:r>
              <w:rPr>
                <w:noProof/>
                <w:webHidden/>
              </w:rPr>
              <w:fldChar w:fldCharType="separate"/>
            </w:r>
            <w:r>
              <w:rPr>
                <w:noProof/>
                <w:webHidden/>
              </w:rPr>
              <w:t>69</w:t>
            </w:r>
            <w:r>
              <w:rPr>
                <w:noProof/>
                <w:webHidden/>
              </w:rPr>
              <w:fldChar w:fldCharType="end"/>
            </w:r>
          </w:hyperlink>
        </w:p>
        <w:p w:rsidR="000E3072" w:rsidRDefault="000E3072" w14:paraId="5AE2D6CF" w14:textId="2052D339">
          <w:pPr>
            <w:pStyle w:val="TDC1"/>
            <w:tabs>
              <w:tab w:val="left" w:pos="720"/>
              <w:tab w:val="right" w:leader="dot" w:pos="9111"/>
            </w:tabs>
            <w:rPr>
              <w:rFonts w:eastAsiaTheme="minorEastAsia"/>
              <w:noProof/>
              <w:lang w:eastAsia="es-CO"/>
            </w:rPr>
          </w:pPr>
          <w:hyperlink w:history="1" w:anchor="_Toc225160625">
            <w:r w:rsidRPr="00E07C92">
              <w:rPr>
                <w:rStyle w:val="Hipervnculo"/>
                <w:b/>
                <w:bCs/>
                <w:noProof/>
              </w:rPr>
              <w:t>11.</w:t>
            </w:r>
            <w:r>
              <w:rPr>
                <w:rFonts w:eastAsiaTheme="minorEastAsia"/>
                <w:noProof/>
                <w:lang w:eastAsia="es-CO"/>
              </w:rPr>
              <w:tab/>
            </w:r>
            <w:r w:rsidRPr="00E07C92">
              <w:rPr>
                <w:rStyle w:val="Hipervnculo"/>
                <w:b/>
                <w:bCs/>
                <w:noProof/>
              </w:rPr>
              <w:t>RECOMENDACIONES</w:t>
            </w:r>
            <w:r>
              <w:rPr>
                <w:noProof/>
                <w:webHidden/>
              </w:rPr>
              <w:tab/>
            </w:r>
            <w:r>
              <w:rPr>
                <w:noProof/>
                <w:webHidden/>
              </w:rPr>
              <w:fldChar w:fldCharType="begin"/>
            </w:r>
            <w:r>
              <w:rPr>
                <w:noProof/>
                <w:webHidden/>
              </w:rPr>
              <w:instrText xml:space="preserve"> PAGEREF _Toc225160625 \h </w:instrText>
            </w:r>
            <w:r>
              <w:rPr>
                <w:noProof/>
                <w:webHidden/>
              </w:rPr>
            </w:r>
            <w:r>
              <w:rPr>
                <w:noProof/>
                <w:webHidden/>
              </w:rPr>
              <w:fldChar w:fldCharType="separate"/>
            </w:r>
            <w:r>
              <w:rPr>
                <w:noProof/>
                <w:webHidden/>
              </w:rPr>
              <w:t>71</w:t>
            </w:r>
            <w:r>
              <w:rPr>
                <w:noProof/>
                <w:webHidden/>
              </w:rPr>
              <w:fldChar w:fldCharType="end"/>
            </w:r>
          </w:hyperlink>
        </w:p>
        <w:p w:rsidR="000E3072" w:rsidRDefault="000E3072" w14:paraId="4B57A37B" w14:textId="0D4C880F">
          <w:pPr>
            <w:pStyle w:val="TDC1"/>
            <w:tabs>
              <w:tab w:val="left" w:pos="720"/>
              <w:tab w:val="right" w:leader="dot" w:pos="9111"/>
            </w:tabs>
            <w:rPr>
              <w:rFonts w:eastAsiaTheme="minorEastAsia"/>
              <w:noProof/>
              <w:lang w:eastAsia="es-CO"/>
            </w:rPr>
          </w:pPr>
          <w:hyperlink w:history="1" w:anchor="_Toc225160626">
            <w:r w:rsidRPr="00E07C92">
              <w:rPr>
                <w:rStyle w:val="Hipervnculo"/>
                <w:b/>
                <w:bCs/>
                <w:noProof/>
              </w:rPr>
              <w:t>12.</w:t>
            </w:r>
            <w:r>
              <w:rPr>
                <w:rFonts w:eastAsiaTheme="minorEastAsia"/>
                <w:noProof/>
                <w:lang w:eastAsia="es-CO"/>
              </w:rPr>
              <w:tab/>
            </w:r>
            <w:r w:rsidRPr="00E07C92">
              <w:rPr>
                <w:rStyle w:val="Hipervnculo"/>
                <w:b/>
                <w:bCs/>
                <w:noProof/>
              </w:rPr>
              <w:t>ANEXOS</w:t>
            </w:r>
            <w:r>
              <w:rPr>
                <w:noProof/>
                <w:webHidden/>
              </w:rPr>
              <w:tab/>
            </w:r>
            <w:r>
              <w:rPr>
                <w:noProof/>
                <w:webHidden/>
              </w:rPr>
              <w:fldChar w:fldCharType="begin"/>
            </w:r>
            <w:r>
              <w:rPr>
                <w:noProof/>
                <w:webHidden/>
              </w:rPr>
              <w:instrText xml:space="preserve"> PAGEREF _Toc225160626 \h </w:instrText>
            </w:r>
            <w:r>
              <w:rPr>
                <w:noProof/>
                <w:webHidden/>
              </w:rPr>
            </w:r>
            <w:r>
              <w:rPr>
                <w:noProof/>
                <w:webHidden/>
              </w:rPr>
              <w:fldChar w:fldCharType="separate"/>
            </w:r>
            <w:r>
              <w:rPr>
                <w:noProof/>
                <w:webHidden/>
              </w:rPr>
              <w:t>72</w:t>
            </w:r>
            <w:r>
              <w:rPr>
                <w:noProof/>
                <w:webHidden/>
              </w:rPr>
              <w:fldChar w:fldCharType="end"/>
            </w:r>
          </w:hyperlink>
        </w:p>
        <w:p w:rsidRPr="00B424BD" w:rsidR="00504B0B" w:rsidP="00C03EBE" w:rsidRDefault="003C256B" w14:paraId="003AC7B5" w14:textId="7C278F2E">
          <w:pPr>
            <w:rPr>
              <w:sz w:val="22"/>
              <w:szCs w:val="22"/>
            </w:rPr>
          </w:pPr>
          <w:r w:rsidRPr="00B424BD">
            <w:rPr>
              <w:sz w:val="22"/>
              <w:szCs w:val="22"/>
              <w:lang w:val="es-ES"/>
            </w:rPr>
            <w:fldChar w:fldCharType="end"/>
          </w:r>
        </w:p>
      </w:sdtContent>
    </w:sdt>
    <w:p w:rsidRPr="00B424BD" w:rsidR="00452326" w:rsidP="00562146" w:rsidRDefault="00452326" w14:paraId="22F76B43" w14:textId="77777777">
      <w:pPr>
        <w:pStyle w:val="Ttulo1"/>
        <w:rPr>
          <w:rFonts w:asciiTheme="minorHAnsi" w:hAnsiTheme="minorHAnsi"/>
          <w:color w:val="auto"/>
          <w:sz w:val="22"/>
          <w:szCs w:val="22"/>
        </w:rPr>
      </w:pPr>
    </w:p>
    <w:p w:rsidRPr="00B424BD" w:rsidR="000F20B3" w:rsidP="000F20B3" w:rsidRDefault="000F20B3" w14:paraId="107A6FFE" w14:textId="77777777">
      <w:pPr>
        <w:rPr>
          <w:sz w:val="22"/>
          <w:szCs w:val="22"/>
        </w:rPr>
      </w:pPr>
    </w:p>
    <w:p w:rsidRPr="00B424BD" w:rsidR="000F20B3" w:rsidP="000F20B3" w:rsidRDefault="000F20B3" w14:paraId="2B1F0FBC" w14:textId="77777777">
      <w:pPr>
        <w:rPr>
          <w:sz w:val="22"/>
          <w:szCs w:val="22"/>
        </w:rPr>
      </w:pPr>
    </w:p>
    <w:p w:rsidRPr="00304A4C" w:rsidR="000F20B3" w:rsidP="000F20B3" w:rsidRDefault="000F20B3" w14:paraId="1EBD9559" w14:textId="77777777">
      <w:pPr>
        <w:rPr>
          <w:sz w:val="22"/>
          <w:szCs w:val="22"/>
        </w:rPr>
      </w:pPr>
    </w:p>
    <w:p w:rsidRPr="00304A4C" w:rsidR="000F20B3" w:rsidP="000F20B3" w:rsidRDefault="000F20B3" w14:paraId="5D68064F" w14:textId="77777777">
      <w:pPr>
        <w:rPr>
          <w:sz w:val="22"/>
          <w:szCs w:val="22"/>
        </w:rPr>
      </w:pPr>
    </w:p>
    <w:p w:rsidRPr="00304A4C" w:rsidR="00632329" w:rsidP="000F20B3" w:rsidRDefault="00632329" w14:paraId="1701B88D" w14:textId="77777777">
      <w:pPr>
        <w:rPr>
          <w:sz w:val="22"/>
          <w:szCs w:val="22"/>
        </w:rPr>
      </w:pPr>
    </w:p>
    <w:p w:rsidRPr="00304A4C" w:rsidR="00632329" w:rsidP="000F20B3" w:rsidRDefault="00632329" w14:paraId="74199DC7" w14:textId="77777777">
      <w:pPr>
        <w:rPr>
          <w:sz w:val="22"/>
          <w:szCs w:val="22"/>
        </w:rPr>
      </w:pPr>
    </w:p>
    <w:p w:rsidRPr="00304A4C" w:rsidR="00632329" w:rsidP="000F20B3" w:rsidRDefault="00632329" w14:paraId="055031F5" w14:textId="77777777">
      <w:pPr>
        <w:rPr>
          <w:sz w:val="22"/>
          <w:szCs w:val="22"/>
        </w:rPr>
      </w:pPr>
    </w:p>
    <w:p w:rsidRPr="00304A4C" w:rsidR="00632329" w:rsidP="000F20B3" w:rsidRDefault="00632329" w14:paraId="43454096" w14:textId="77777777">
      <w:pPr>
        <w:rPr>
          <w:sz w:val="22"/>
          <w:szCs w:val="22"/>
        </w:rPr>
      </w:pPr>
    </w:p>
    <w:p w:rsidR="00632329" w:rsidP="000F20B3" w:rsidRDefault="00632329" w14:paraId="659C22D8" w14:textId="77777777"/>
    <w:p w:rsidR="00632329" w:rsidP="000F20B3" w:rsidRDefault="00632329" w14:paraId="1E890FB7" w14:textId="77777777"/>
    <w:p w:rsidR="00632329" w:rsidP="000F20B3" w:rsidRDefault="00632329" w14:paraId="4933C57C" w14:textId="77777777"/>
    <w:p w:rsidR="43AFD688" w:rsidRDefault="43AFD688" w14:paraId="1DBFAD05" w14:textId="489672F7"/>
    <w:p w:rsidR="00A66C54" w:rsidRDefault="00A66C54" w14:paraId="397F599B" w14:textId="77777777"/>
    <w:p w:rsidR="00BF184D" w:rsidRDefault="00BF184D" w14:paraId="347CB8F9" w14:textId="77777777"/>
    <w:p w:rsidR="00BF184D" w:rsidRDefault="00BF184D" w14:paraId="47A952E0" w14:textId="77777777"/>
    <w:p w:rsidRPr="00AC0219" w:rsidR="009A06FB" w:rsidP="00920364" w:rsidRDefault="00F6776D" w14:paraId="43917482" w14:textId="0796102E">
      <w:pPr>
        <w:pStyle w:val="Ttulo1"/>
        <w:numPr>
          <w:ilvl w:val="0"/>
          <w:numId w:val="6"/>
        </w:numPr>
        <w:jc w:val="center"/>
        <w:rPr>
          <w:rFonts w:asciiTheme="minorHAnsi" w:hAnsiTheme="minorHAnsi"/>
          <w:b/>
          <w:bCs/>
          <w:color w:val="auto"/>
          <w:sz w:val="24"/>
          <w:szCs w:val="24"/>
        </w:rPr>
      </w:pPr>
      <w:bookmarkStart w:name="_Toc225160593" w:id="0"/>
      <w:r w:rsidRPr="00AC0219">
        <w:rPr>
          <w:rFonts w:asciiTheme="minorHAnsi" w:hAnsiTheme="minorHAnsi"/>
          <w:b/>
          <w:bCs/>
          <w:color w:val="auto"/>
          <w:sz w:val="24"/>
          <w:szCs w:val="24"/>
        </w:rPr>
        <w:lastRenderedPageBreak/>
        <w:t>INTRODUCCIÓN</w:t>
      </w:r>
      <w:bookmarkEnd w:id="0"/>
    </w:p>
    <w:p w:rsidRPr="00AC0219" w:rsidR="00C20CF0" w:rsidP="32ABF8EC" w:rsidRDefault="4CA0D468" w14:paraId="4A327C0E" w14:textId="51BB5FB8">
      <w:pPr>
        <w:spacing w:before="240" w:after="240"/>
        <w:jc w:val="both"/>
        <w:rPr>
          <w:rFonts w:ascii="Aptos" w:hAnsi="Aptos" w:eastAsia="Aptos" w:cs="Aptos"/>
          <w:color w:val="000000" w:themeColor="text1"/>
          <w:sz w:val="22"/>
          <w:szCs w:val="22"/>
        </w:rPr>
      </w:pPr>
      <w:r w:rsidRPr="32ABF8EC">
        <w:rPr>
          <w:rFonts w:ascii="Aptos" w:hAnsi="Aptos" w:eastAsia="Aptos" w:cs="Aptos"/>
          <w:color w:val="000000" w:themeColor="text1"/>
          <w:sz w:val="22"/>
          <w:szCs w:val="22"/>
        </w:rPr>
        <w:t>Las dinámicas contemporáneas de las organizaciones se inscriben en un proceso multidimensional de globalización que produce transformaciones simultáneas en los ámbitos político, económico y social. En este contexto, los cambios acelerados y continuos reconfiguran las estructuras organizacionales y complejizan sus formas de operación, impulsadas por factores como la competitividad, las demandas de modernización, la búsqueda de sostenibilidad económica, la estratificación interna, así como la construcción de estatus y reputación institucional.</w:t>
      </w:r>
    </w:p>
    <w:p w:rsidRPr="00F83F3D" w:rsidR="00C20CF0" w:rsidP="00F83F3D" w:rsidRDefault="4CA0D468" w14:paraId="232E4AFD" w14:textId="3E995DAE">
      <w:pPr>
        <w:spacing w:before="240" w:after="240"/>
        <w:jc w:val="both"/>
        <w:rPr>
          <w:rFonts w:ascii="Aptos" w:hAnsi="Aptos" w:eastAsia="Aptos" w:cs="Aptos"/>
          <w:color w:val="000000" w:themeColor="text1"/>
          <w:sz w:val="22"/>
          <w:szCs w:val="22"/>
        </w:rPr>
      </w:pPr>
      <w:r w:rsidRPr="32ABF8EC">
        <w:rPr>
          <w:rFonts w:ascii="Aptos" w:hAnsi="Aptos" w:eastAsia="Aptos" w:cs="Aptos"/>
          <w:color w:val="000000" w:themeColor="text1"/>
          <w:sz w:val="22"/>
          <w:szCs w:val="22"/>
        </w:rPr>
        <w:t>Bajo estas condiciones, el cumplimiento de los objetivos institucionales implica procesos permanentes de adaptación y transformación organizacional. Ello exige el diseño e implementación constante de estrategias orientadas a optimizar el uso de los recursos, al tiempo que los individuos se integran y alinean con los marcos normativos, valores y prácticas que configuran la cultura organizacional.</w:t>
      </w:r>
    </w:p>
    <w:p w:rsidR="00442798" w:rsidP="007956F5" w:rsidRDefault="001915B6" w14:paraId="2DB9A0B4" w14:textId="77777777">
      <w:pPr>
        <w:jc w:val="both"/>
        <w:rPr>
          <w:rFonts w:ascii="Aptos" w:hAnsi="Aptos" w:eastAsia="Aptos" w:cs="Aptos"/>
          <w:color w:val="000000" w:themeColor="text1"/>
          <w:sz w:val="22"/>
          <w:szCs w:val="22"/>
        </w:rPr>
      </w:pPr>
      <w:r w:rsidRPr="00AC0219">
        <w:rPr>
          <w:sz w:val="22"/>
          <w:szCs w:val="22"/>
        </w:rPr>
        <w:t>Para</w:t>
      </w:r>
      <w:r w:rsidR="00452326">
        <w:rPr>
          <w:sz w:val="22"/>
          <w:szCs w:val="22"/>
        </w:rPr>
        <w:t xml:space="preserve"> </w:t>
      </w:r>
      <w:r w:rsidRPr="00AC0219">
        <w:rPr>
          <w:sz w:val="22"/>
          <w:szCs w:val="22"/>
        </w:rPr>
        <w:t>Maldonado</w:t>
      </w:r>
      <w:r w:rsidR="00452326">
        <w:rPr>
          <w:sz w:val="22"/>
          <w:szCs w:val="22"/>
        </w:rPr>
        <w:t xml:space="preserve"> </w:t>
      </w:r>
      <w:r w:rsidRPr="00AC0219">
        <w:rPr>
          <w:sz w:val="22"/>
          <w:szCs w:val="22"/>
        </w:rPr>
        <w:t>(2020),</w:t>
      </w:r>
      <w:r w:rsidR="00452326">
        <w:rPr>
          <w:sz w:val="22"/>
          <w:szCs w:val="22"/>
        </w:rPr>
        <w:t xml:space="preserve"> </w:t>
      </w:r>
      <w:r w:rsidRPr="00AC0219">
        <w:rPr>
          <w:sz w:val="22"/>
          <w:szCs w:val="22"/>
        </w:rPr>
        <w:t>citado</w:t>
      </w:r>
      <w:r w:rsidR="00452326">
        <w:rPr>
          <w:sz w:val="22"/>
          <w:szCs w:val="22"/>
        </w:rPr>
        <w:t xml:space="preserve"> </w:t>
      </w:r>
      <w:r w:rsidRPr="00AC0219">
        <w:rPr>
          <w:sz w:val="22"/>
          <w:szCs w:val="22"/>
        </w:rPr>
        <w:t>por</w:t>
      </w:r>
      <w:r w:rsidR="00452326">
        <w:rPr>
          <w:sz w:val="22"/>
          <w:szCs w:val="22"/>
        </w:rPr>
        <w:t xml:space="preserve"> </w:t>
      </w:r>
      <w:r w:rsidRPr="00AC0219">
        <w:rPr>
          <w:sz w:val="22"/>
          <w:szCs w:val="22"/>
        </w:rPr>
        <w:t>Mora</w:t>
      </w:r>
      <w:r w:rsidR="00452326">
        <w:rPr>
          <w:sz w:val="22"/>
          <w:szCs w:val="22"/>
        </w:rPr>
        <w:t xml:space="preserve"> </w:t>
      </w:r>
      <w:r w:rsidRPr="00AC0219">
        <w:rPr>
          <w:sz w:val="22"/>
          <w:szCs w:val="22"/>
        </w:rPr>
        <w:t>(2022),</w:t>
      </w:r>
      <w:r w:rsidR="00452326">
        <w:rPr>
          <w:sz w:val="22"/>
          <w:szCs w:val="22"/>
        </w:rPr>
        <w:t xml:space="preserve"> </w:t>
      </w:r>
      <w:r w:rsidRPr="00AC0219">
        <w:rPr>
          <w:sz w:val="22"/>
          <w:szCs w:val="22"/>
        </w:rPr>
        <w:t>e</w:t>
      </w:r>
      <w:r w:rsidRPr="00AC0219" w:rsidR="00CD6D33">
        <w:rPr>
          <w:sz w:val="22"/>
          <w:szCs w:val="22"/>
        </w:rPr>
        <w:t>n</w:t>
      </w:r>
      <w:r w:rsidR="00452326">
        <w:rPr>
          <w:sz w:val="22"/>
          <w:szCs w:val="22"/>
        </w:rPr>
        <w:t xml:space="preserve"> </w:t>
      </w:r>
      <w:r w:rsidRPr="00AC0219" w:rsidR="00CD6D33">
        <w:rPr>
          <w:sz w:val="22"/>
          <w:szCs w:val="22"/>
        </w:rPr>
        <w:t>el</w:t>
      </w:r>
      <w:r w:rsidR="00452326">
        <w:rPr>
          <w:sz w:val="22"/>
          <w:szCs w:val="22"/>
        </w:rPr>
        <w:t xml:space="preserve"> </w:t>
      </w:r>
      <w:r w:rsidRPr="00AC0219" w:rsidR="00CD6D33">
        <w:rPr>
          <w:sz w:val="22"/>
          <w:szCs w:val="22"/>
        </w:rPr>
        <w:t>entorno</w:t>
      </w:r>
      <w:r w:rsidR="00452326">
        <w:rPr>
          <w:sz w:val="22"/>
          <w:szCs w:val="22"/>
        </w:rPr>
        <w:t xml:space="preserve"> </w:t>
      </w:r>
      <w:r w:rsidRPr="00AC0219" w:rsidR="00CD6D33">
        <w:rPr>
          <w:sz w:val="22"/>
          <w:szCs w:val="22"/>
        </w:rPr>
        <w:t>global,</w:t>
      </w:r>
      <w:r w:rsidR="00452326">
        <w:rPr>
          <w:sz w:val="22"/>
          <w:szCs w:val="22"/>
        </w:rPr>
        <w:t xml:space="preserve"> </w:t>
      </w:r>
      <w:r w:rsidRPr="00AC0219" w:rsidR="00CD6D33">
        <w:rPr>
          <w:sz w:val="22"/>
          <w:szCs w:val="22"/>
        </w:rPr>
        <w:t>las</w:t>
      </w:r>
      <w:r w:rsidR="00452326">
        <w:rPr>
          <w:sz w:val="22"/>
          <w:szCs w:val="22"/>
        </w:rPr>
        <w:t xml:space="preserve"> </w:t>
      </w:r>
      <w:r w:rsidRPr="00AC0219" w:rsidR="00A66C54">
        <w:rPr>
          <w:sz w:val="22"/>
          <w:szCs w:val="22"/>
        </w:rPr>
        <w:t>organizaciones</w:t>
      </w:r>
      <w:r w:rsidR="00A66C54">
        <w:rPr>
          <w:sz w:val="22"/>
          <w:szCs w:val="22"/>
        </w:rPr>
        <w:t xml:space="preserve"> </w:t>
      </w:r>
      <w:r w:rsidRPr="7ECB36E7" w:rsidR="00A66C54">
        <w:rPr>
          <w:sz w:val="22"/>
          <w:szCs w:val="22"/>
        </w:rPr>
        <w:t>enfrentan</w:t>
      </w:r>
      <w:r w:rsidRPr="7ECB36E7" w:rsidR="6DDB37BE">
        <w:rPr>
          <w:rFonts w:ascii="Aptos" w:hAnsi="Aptos" w:eastAsia="Aptos" w:cs="Aptos"/>
          <w:color w:val="000000" w:themeColor="text1"/>
          <w:sz w:val="22"/>
          <w:szCs w:val="22"/>
        </w:rPr>
        <w:t xml:space="preserve"> mayores exigencias en materia de gestión del riesgo debido al incremento de la competencia y a la complejidad de los entornos en los que operan. Esta situación las obliga a adoptar decisiones orientadas a identificar, asumir y mitigar riesgos, así como a proteger su patrimonio con el fin de garantizar la continuidad de sus operaciones. </w:t>
      </w:r>
    </w:p>
    <w:p w:rsidRPr="00A66C54" w:rsidR="003F6A10" w:rsidP="007956F5" w:rsidRDefault="6DDB37BE" w14:paraId="195690F3" w14:textId="27B6DFEF">
      <w:pPr>
        <w:jc w:val="both"/>
        <w:rPr>
          <w:rFonts w:ascii="Aptos" w:hAnsi="Aptos" w:eastAsia="Aptos" w:cs="Aptos"/>
          <w:color w:val="000000" w:themeColor="text1"/>
          <w:sz w:val="22"/>
          <w:szCs w:val="22"/>
        </w:rPr>
      </w:pPr>
      <w:r w:rsidRPr="7ECB36E7">
        <w:rPr>
          <w:rFonts w:ascii="Aptos" w:hAnsi="Aptos" w:eastAsia="Aptos" w:cs="Aptos"/>
          <w:color w:val="000000" w:themeColor="text1"/>
          <w:sz w:val="22"/>
          <w:szCs w:val="22"/>
        </w:rPr>
        <w:t>Asimismo, deben desarrollar estrategias de innovación y creatividad que fortalezcan su capacidad competitiva, incorporar nuevas tecnologías, atraer y retener talento humano cualificado, realizar inversiones en propiedad, planta y equipo y adaptarse a marcos regulatorios en constante transformación.</w:t>
      </w:r>
      <w:r w:rsidR="00A66C54">
        <w:rPr>
          <w:rFonts w:ascii="Aptos" w:hAnsi="Aptos" w:eastAsia="Aptos" w:cs="Aptos"/>
          <w:color w:val="000000" w:themeColor="text1"/>
          <w:sz w:val="22"/>
          <w:szCs w:val="22"/>
        </w:rPr>
        <w:t xml:space="preserve"> </w:t>
      </w:r>
      <w:r w:rsidRPr="00AC0219" w:rsidR="008412DB">
        <w:rPr>
          <w:sz w:val="22"/>
          <w:szCs w:val="22"/>
        </w:rPr>
        <w:t>Es</w:t>
      </w:r>
      <w:r w:rsidR="00452326">
        <w:rPr>
          <w:sz w:val="22"/>
          <w:szCs w:val="22"/>
        </w:rPr>
        <w:t xml:space="preserve"> </w:t>
      </w:r>
      <w:r w:rsidRPr="00AC0219" w:rsidR="008412DB">
        <w:rPr>
          <w:sz w:val="22"/>
          <w:szCs w:val="22"/>
        </w:rPr>
        <w:t>así</w:t>
      </w:r>
      <w:r w:rsidR="00452326">
        <w:rPr>
          <w:sz w:val="22"/>
          <w:szCs w:val="22"/>
        </w:rPr>
        <w:t xml:space="preserve"> </w:t>
      </w:r>
      <w:r w:rsidRPr="00AC0219" w:rsidR="008412DB">
        <w:rPr>
          <w:sz w:val="22"/>
          <w:szCs w:val="22"/>
        </w:rPr>
        <w:t>como,</w:t>
      </w:r>
      <w:r w:rsidR="00452326">
        <w:rPr>
          <w:sz w:val="22"/>
          <w:szCs w:val="22"/>
        </w:rPr>
        <w:t xml:space="preserve"> </w:t>
      </w:r>
      <w:r w:rsidRPr="00AC0219" w:rsidR="003F6A10">
        <w:rPr>
          <w:sz w:val="22"/>
          <w:szCs w:val="22"/>
        </w:rPr>
        <w:t>la</w:t>
      </w:r>
      <w:r w:rsidR="00452326">
        <w:rPr>
          <w:sz w:val="22"/>
          <w:szCs w:val="22"/>
        </w:rPr>
        <w:t xml:space="preserve"> </w:t>
      </w:r>
      <w:r w:rsidRPr="00AC0219" w:rsidR="003F6A10">
        <w:rPr>
          <w:sz w:val="22"/>
          <w:szCs w:val="22"/>
        </w:rPr>
        <w:t>progresiva</w:t>
      </w:r>
      <w:r w:rsidR="00452326">
        <w:rPr>
          <w:sz w:val="22"/>
          <w:szCs w:val="22"/>
        </w:rPr>
        <w:t xml:space="preserve"> </w:t>
      </w:r>
      <w:r w:rsidRPr="00AC0219" w:rsidR="003F6A10">
        <w:rPr>
          <w:sz w:val="22"/>
          <w:szCs w:val="22"/>
        </w:rPr>
        <w:t>complejidad</w:t>
      </w:r>
      <w:r w:rsidR="00452326">
        <w:rPr>
          <w:sz w:val="22"/>
          <w:szCs w:val="22"/>
        </w:rPr>
        <w:t xml:space="preserve"> </w:t>
      </w:r>
      <w:r w:rsidRPr="00AC0219" w:rsidR="003F6A10">
        <w:rPr>
          <w:sz w:val="22"/>
          <w:szCs w:val="22"/>
        </w:rPr>
        <w:t>e</w:t>
      </w:r>
      <w:r w:rsidR="00452326">
        <w:rPr>
          <w:sz w:val="22"/>
          <w:szCs w:val="22"/>
        </w:rPr>
        <w:t xml:space="preserve"> </w:t>
      </w:r>
      <w:r w:rsidRPr="00AC0219" w:rsidR="003F6A10">
        <w:rPr>
          <w:sz w:val="22"/>
          <w:szCs w:val="22"/>
        </w:rPr>
        <w:t>imprevisibilidad</w:t>
      </w:r>
      <w:r w:rsidR="00452326">
        <w:rPr>
          <w:sz w:val="22"/>
          <w:szCs w:val="22"/>
        </w:rPr>
        <w:t xml:space="preserve"> </w:t>
      </w:r>
      <w:r w:rsidRPr="00AC0219" w:rsidR="003F6A10">
        <w:rPr>
          <w:sz w:val="22"/>
          <w:szCs w:val="22"/>
        </w:rPr>
        <w:t>del</w:t>
      </w:r>
      <w:r w:rsidR="00452326">
        <w:rPr>
          <w:sz w:val="22"/>
          <w:szCs w:val="22"/>
        </w:rPr>
        <w:t xml:space="preserve"> </w:t>
      </w:r>
      <w:r w:rsidRPr="00AC0219" w:rsidR="003F6A10">
        <w:rPr>
          <w:sz w:val="22"/>
          <w:szCs w:val="22"/>
        </w:rPr>
        <w:t>entorno,</w:t>
      </w:r>
      <w:r w:rsidR="00452326">
        <w:rPr>
          <w:sz w:val="22"/>
          <w:szCs w:val="22"/>
        </w:rPr>
        <w:t xml:space="preserve"> </w:t>
      </w:r>
      <w:r w:rsidRPr="00AC0219" w:rsidR="008412DB">
        <w:rPr>
          <w:sz w:val="22"/>
          <w:szCs w:val="22"/>
        </w:rPr>
        <w:t>hace</w:t>
      </w:r>
      <w:r w:rsidR="00452326">
        <w:rPr>
          <w:sz w:val="22"/>
          <w:szCs w:val="22"/>
        </w:rPr>
        <w:t xml:space="preserve"> </w:t>
      </w:r>
      <w:r w:rsidRPr="00AC0219" w:rsidR="008412DB">
        <w:rPr>
          <w:sz w:val="22"/>
          <w:szCs w:val="22"/>
        </w:rPr>
        <w:t>que</w:t>
      </w:r>
      <w:r w:rsidR="00452326">
        <w:rPr>
          <w:sz w:val="22"/>
          <w:szCs w:val="22"/>
        </w:rPr>
        <w:t xml:space="preserve"> </w:t>
      </w:r>
      <w:r w:rsidRPr="00AC0219" w:rsidR="003F6A10">
        <w:rPr>
          <w:sz w:val="22"/>
          <w:szCs w:val="22"/>
        </w:rPr>
        <w:t>la</w:t>
      </w:r>
      <w:r w:rsidR="00452326">
        <w:rPr>
          <w:sz w:val="22"/>
          <w:szCs w:val="22"/>
        </w:rPr>
        <w:t xml:space="preserve"> </w:t>
      </w:r>
      <w:r w:rsidRPr="00AC0219" w:rsidR="003F6A10">
        <w:rPr>
          <w:sz w:val="22"/>
          <w:szCs w:val="22"/>
        </w:rPr>
        <w:t>gestión</w:t>
      </w:r>
      <w:r w:rsidR="00452326">
        <w:rPr>
          <w:sz w:val="22"/>
          <w:szCs w:val="22"/>
        </w:rPr>
        <w:t xml:space="preserve"> </w:t>
      </w:r>
      <w:r w:rsidRPr="00AC0219" w:rsidR="003F6A10">
        <w:rPr>
          <w:sz w:val="22"/>
          <w:szCs w:val="22"/>
        </w:rPr>
        <w:t>del</w:t>
      </w:r>
      <w:r w:rsidR="00452326">
        <w:rPr>
          <w:sz w:val="22"/>
          <w:szCs w:val="22"/>
        </w:rPr>
        <w:t xml:space="preserve"> </w:t>
      </w:r>
      <w:r w:rsidRPr="00AC0219" w:rsidR="003F6A10">
        <w:rPr>
          <w:sz w:val="22"/>
          <w:szCs w:val="22"/>
        </w:rPr>
        <w:t>riesgo</w:t>
      </w:r>
      <w:r w:rsidR="00452326">
        <w:rPr>
          <w:sz w:val="22"/>
          <w:szCs w:val="22"/>
        </w:rPr>
        <w:t xml:space="preserve"> </w:t>
      </w:r>
      <w:r w:rsidRPr="00AC0219" w:rsidR="008412DB">
        <w:rPr>
          <w:sz w:val="22"/>
          <w:szCs w:val="22"/>
        </w:rPr>
        <w:t>sea</w:t>
      </w:r>
      <w:r w:rsidR="00452326">
        <w:rPr>
          <w:sz w:val="22"/>
          <w:szCs w:val="22"/>
        </w:rPr>
        <w:t xml:space="preserve"> </w:t>
      </w:r>
      <w:r w:rsidRPr="00AC0219" w:rsidR="008412DB">
        <w:rPr>
          <w:sz w:val="22"/>
          <w:szCs w:val="22"/>
        </w:rPr>
        <w:t>un</w:t>
      </w:r>
      <w:r w:rsidR="00452326">
        <w:rPr>
          <w:sz w:val="22"/>
          <w:szCs w:val="22"/>
        </w:rPr>
        <w:t xml:space="preserve"> </w:t>
      </w:r>
      <w:r w:rsidRPr="00AC0219" w:rsidR="008412DB">
        <w:rPr>
          <w:sz w:val="22"/>
          <w:szCs w:val="22"/>
        </w:rPr>
        <w:t>factor</w:t>
      </w:r>
      <w:r w:rsidR="00452326">
        <w:rPr>
          <w:sz w:val="22"/>
          <w:szCs w:val="22"/>
        </w:rPr>
        <w:t xml:space="preserve"> </w:t>
      </w:r>
      <w:r w:rsidRPr="00AC0219" w:rsidR="003F6A10">
        <w:rPr>
          <w:sz w:val="22"/>
          <w:szCs w:val="22"/>
        </w:rPr>
        <w:t>esencial</w:t>
      </w:r>
      <w:r w:rsidR="00452326">
        <w:rPr>
          <w:sz w:val="22"/>
          <w:szCs w:val="22"/>
        </w:rPr>
        <w:t xml:space="preserve"> </w:t>
      </w:r>
      <w:r w:rsidRPr="00AC0219" w:rsidR="003F6A10">
        <w:rPr>
          <w:sz w:val="22"/>
          <w:szCs w:val="22"/>
        </w:rPr>
        <w:t>en</w:t>
      </w:r>
      <w:r w:rsidR="00452326">
        <w:rPr>
          <w:sz w:val="22"/>
          <w:szCs w:val="22"/>
        </w:rPr>
        <w:t xml:space="preserve"> </w:t>
      </w:r>
      <w:r w:rsidRPr="00AC0219" w:rsidR="003F6A10">
        <w:rPr>
          <w:sz w:val="22"/>
          <w:szCs w:val="22"/>
        </w:rPr>
        <w:t>las</w:t>
      </w:r>
      <w:r w:rsidR="00452326">
        <w:rPr>
          <w:sz w:val="22"/>
          <w:szCs w:val="22"/>
        </w:rPr>
        <w:t xml:space="preserve"> </w:t>
      </w:r>
      <w:r w:rsidRPr="00AC0219" w:rsidR="008A19DA">
        <w:rPr>
          <w:sz w:val="22"/>
          <w:szCs w:val="22"/>
        </w:rPr>
        <w:t>organizaciones,</w:t>
      </w:r>
      <w:r w:rsidR="00452326">
        <w:rPr>
          <w:sz w:val="22"/>
          <w:szCs w:val="22"/>
        </w:rPr>
        <w:t xml:space="preserve"> </w:t>
      </w:r>
      <w:r w:rsidRPr="00AC0219" w:rsidR="008A19DA">
        <w:rPr>
          <w:sz w:val="22"/>
          <w:szCs w:val="22"/>
        </w:rPr>
        <w:t>tanto</w:t>
      </w:r>
      <w:r w:rsidR="00452326">
        <w:rPr>
          <w:sz w:val="22"/>
          <w:szCs w:val="22"/>
        </w:rPr>
        <w:t xml:space="preserve"> </w:t>
      </w:r>
      <w:r w:rsidRPr="00AC0219" w:rsidR="008A19DA">
        <w:rPr>
          <w:sz w:val="22"/>
          <w:szCs w:val="22"/>
        </w:rPr>
        <w:t>privadas</w:t>
      </w:r>
      <w:r w:rsidR="00452326">
        <w:rPr>
          <w:sz w:val="22"/>
          <w:szCs w:val="22"/>
        </w:rPr>
        <w:t xml:space="preserve"> </w:t>
      </w:r>
      <w:r w:rsidRPr="00AC0219" w:rsidR="008A19DA">
        <w:rPr>
          <w:sz w:val="22"/>
          <w:szCs w:val="22"/>
        </w:rPr>
        <w:t>como</w:t>
      </w:r>
      <w:r w:rsidR="00452326">
        <w:rPr>
          <w:sz w:val="22"/>
          <w:szCs w:val="22"/>
        </w:rPr>
        <w:t xml:space="preserve"> </w:t>
      </w:r>
      <w:r w:rsidRPr="00AC0219" w:rsidR="003F6A10">
        <w:rPr>
          <w:sz w:val="22"/>
          <w:szCs w:val="22"/>
        </w:rPr>
        <w:t>públicas,</w:t>
      </w:r>
      <w:r w:rsidR="00452326">
        <w:rPr>
          <w:sz w:val="22"/>
          <w:szCs w:val="22"/>
        </w:rPr>
        <w:t xml:space="preserve"> </w:t>
      </w:r>
      <w:r w:rsidRPr="00AC0219" w:rsidR="003F6A10">
        <w:rPr>
          <w:sz w:val="22"/>
          <w:szCs w:val="22"/>
        </w:rPr>
        <w:t>en</w:t>
      </w:r>
      <w:r w:rsidR="00452326">
        <w:rPr>
          <w:sz w:val="22"/>
          <w:szCs w:val="22"/>
        </w:rPr>
        <w:t xml:space="preserve"> </w:t>
      </w:r>
      <w:r w:rsidRPr="00AC0219" w:rsidR="008A19DA">
        <w:rPr>
          <w:sz w:val="22"/>
          <w:szCs w:val="22"/>
        </w:rPr>
        <w:t>todos</w:t>
      </w:r>
      <w:r w:rsidR="00452326">
        <w:rPr>
          <w:sz w:val="22"/>
          <w:szCs w:val="22"/>
        </w:rPr>
        <w:t xml:space="preserve"> </w:t>
      </w:r>
      <w:r w:rsidRPr="00AC0219" w:rsidR="008A19DA">
        <w:rPr>
          <w:sz w:val="22"/>
          <w:szCs w:val="22"/>
        </w:rPr>
        <w:t>los</w:t>
      </w:r>
      <w:r w:rsidR="00452326">
        <w:rPr>
          <w:sz w:val="22"/>
          <w:szCs w:val="22"/>
        </w:rPr>
        <w:t xml:space="preserve"> </w:t>
      </w:r>
      <w:r w:rsidRPr="00AC0219" w:rsidR="008A19DA">
        <w:rPr>
          <w:sz w:val="22"/>
          <w:szCs w:val="22"/>
        </w:rPr>
        <w:t>sectores</w:t>
      </w:r>
      <w:r w:rsidR="00452326">
        <w:rPr>
          <w:sz w:val="22"/>
          <w:szCs w:val="22"/>
        </w:rPr>
        <w:t xml:space="preserve"> </w:t>
      </w:r>
      <w:r w:rsidRPr="00AC0219" w:rsidR="003F6A10">
        <w:rPr>
          <w:sz w:val="22"/>
          <w:szCs w:val="22"/>
        </w:rPr>
        <w:t>(Mora,</w:t>
      </w:r>
      <w:r w:rsidR="00452326">
        <w:rPr>
          <w:sz w:val="22"/>
          <w:szCs w:val="22"/>
        </w:rPr>
        <w:t xml:space="preserve"> </w:t>
      </w:r>
      <w:r w:rsidRPr="00AC0219" w:rsidR="003F6A10">
        <w:rPr>
          <w:sz w:val="22"/>
          <w:szCs w:val="22"/>
        </w:rPr>
        <w:t>2022).</w:t>
      </w:r>
      <w:r w:rsidR="00452326">
        <w:rPr>
          <w:sz w:val="22"/>
          <w:szCs w:val="22"/>
        </w:rPr>
        <w:t xml:space="preserve"> </w:t>
      </w:r>
      <w:r w:rsidRPr="00AC0219" w:rsidR="008A19DA">
        <w:rPr>
          <w:sz w:val="22"/>
          <w:szCs w:val="22"/>
        </w:rPr>
        <w:t>En</w:t>
      </w:r>
      <w:r w:rsidR="00452326">
        <w:rPr>
          <w:sz w:val="22"/>
          <w:szCs w:val="22"/>
        </w:rPr>
        <w:t xml:space="preserve"> </w:t>
      </w:r>
      <w:r w:rsidRPr="00AC0219" w:rsidR="008A19DA">
        <w:rPr>
          <w:sz w:val="22"/>
          <w:szCs w:val="22"/>
        </w:rPr>
        <w:t>el</w:t>
      </w:r>
      <w:r w:rsidR="00452326">
        <w:rPr>
          <w:sz w:val="22"/>
          <w:szCs w:val="22"/>
        </w:rPr>
        <w:t xml:space="preserve"> </w:t>
      </w:r>
      <w:r w:rsidRPr="00AC0219" w:rsidR="008A19DA">
        <w:rPr>
          <w:sz w:val="22"/>
          <w:szCs w:val="22"/>
        </w:rPr>
        <w:t>entorno</w:t>
      </w:r>
      <w:r w:rsidR="00452326">
        <w:rPr>
          <w:sz w:val="22"/>
          <w:szCs w:val="22"/>
        </w:rPr>
        <w:t xml:space="preserve"> </w:t>
      </w:r>
      <w:r w:rsidRPr="00AC0219" w:rsidR="008A19DA">
        <w:rPr>
          <w:sz w:val="22"/>
          <w:szCs w:val="22"/>
        </w:rPr>
        <w:t>global,</w:t>
      </w:r>
      <w:r w:rsidR="00452326">
        <w:rPr>
          <w:sz w:val="22"/>
          <w:szCs w:val="22"/>
        </w:rPr>
        <w:t xml:space="preserve"> </w:t>
      </w:r>
      <w:r w:rsidRPr="00AC0219" w:rsidR="008A19DA">
        <w:rPr>
          <w:sz w:val="22"/>
          <w:szCs w:val="22"/>
        </w:rPr>
        <w:t>los</w:t>
      </w:r>
      <w:r w:rsidR="00452326">
        <w:rPr>
          <w:sz w:val="22"/>
          <w:szCs w:val="22"/>
        </w:rPr>
        <w:t xml:space="preserve"> </w:t>
      </w:r>
      <w:r w:rsidRPr="00AC0219" w:rsidR="008A19DA">
        <w:rPr>
          <w:sz w:val="22"/>
          <w:szCs w:val="22"/>
        </w:rPr>
        <w:t>cambios</w:t>
      </w:r>
      <w:r w:rsidR="00452326">
        <w:rPr>
          <w:sz w:val="22"/>
          <w:szCs w:val="22"/>
        </w:rPr>
        <w:t xml:space="preserve"> </w:t>
      </w:r>
      <w:r w:rsidRPr="00AC0219" w:rsidR="008A19DA">
        <w:rPr>
          <w:sz w:val="22"/>
          <w:szCs w:val="22"/>
        </w:rPr>
        <w:t>y</w:t>
      </w:r>
      <w:r w:rsidR="00452326">
        <w:rPr>
          <w:sz w:val="22"/>
          <w:szCs w:val="22"/>
        </w:rPr>
        <w:t xml:space="preserve"> </w:t>
      </w:r>
      <w:r w:rsidRPr="00AC0219" w:rsidR="008A19DA">
        <w:rPr>
          <w:sz w:val="22"/>
          <w:szCs w:val="22"/>
        </w:rPr>
        <w:t>la</w:t>
      </w:r>
      <w:r w:rsidR="00452326">
        <w:rPr>
          <w:sz w:val="22"/>
          <w:szCs w:val="22"/>
        </w:rPr>
        <w:t xml:space="preserve"> </w:t>
      </w:r>
      <w:r w:rsidRPr="00AC0219" w:rsidR="008A19DA">
        <w:rPr>
          <w:sz w:val="22"/>
          <w:szCs w:val="22"/>
        </w:rPr>
        <w:t>evolución</w:t>
      </w:r>
      <w:r w:rsidR="00452326">
        <w:rPr>
          <w:sz w:val="22"/>
          <w:szCs w:val="22"/>
        </w:rPr>
        <w:t xml:space="preserve"> </w:t>
      </w:r>
      <w:r w:rsidRPr="00AC0219" w:rsidR="008A19DA">
        <w:rPr>
          <w:sz w:val="22"/>
          <w:szCs w:val="22"/>
        </w:rPr>
        <w:t>de</w:t>
      </w:r>
      <w:r w:rsidR="00452326">
        <w:rPr>
          <w:sz w:val="22"/>
          <w:szCs w:val="22"/>
        </w:rPr>
        <w:t xml:space="preserve"> </w:t>
      </w:r>
      <w:r w:rsidRPr="00AC0219" w:rsidR="008A19DA">
        <w:rPr>
          <w:sz w:val="22"/>
          <w:szCs w:val="22"/>
        </w:rPr>
        <w:t>los</w:t>
      </w:r>
      <w:r w:rsidR="00452326">
        <w:rPr>
          <w:sz w:val="22"/>
          <w:szCs w:val="22"/>
        </w:rPr>
        <w:t xml:space="preserve"> </w:t>
      </w:r>
      <w:r w:rsidRPr="00AC0219" w:rsidR="008A19DA">
        <w:rPr>
          <w:sz w:val="22"/>
          <w:szCs w:val="22"/>
        </w:rPr>
        <w:t>riesgos</w:t>
      </w:r>
      <w:r w:rsidR="00452326">
        <w:rPr>
          <w:sz w:val="22"/>
          <w:szCs w:val="22"/>
        </w:rPr>
        <w:t xml:space="preserve"> </w:t>
      </w:r>
      <w:r w:rsidRPr="00AC0219" w:rsidR="008A19DA">
        <w:rPr>
          <w:sz w:val="22"/>
          <w:szCs w:val="22"/>
        </w:rPr>
        <w:t>son</w:t>
      </w:r>
      <w:r w:rsidR="00452326">
        <w:rPr>
          <w:sz w:val="22"/>
          <w:szCs w:val="22"/>
        </w:rPr>
        <w:t xml:space="preserve"> </w:t>
      </w:r>
      <w:r w:rsidRPr="00AC0219" w:rsidR="008A19DA">
        <w:rPr>
          <w:sz w:val="22"/>
          <w:szCs w:val="22"/>
        </w:rPr>
        <w:t>constantes,</w:t>
      </w:r>
      <w:r w:rsidR="00452326">
        <w:rPr>
          <w:sz w:val="22"/>
          <w:szCs w:val="22"/>
        </w:rPr>
        <w:t xml:space="preserve"> </w:t>
      </w:r>
      <w:r w:rsidRPr="00AC0219" w:rsidR="008A19DA">
        <w:rPr>
          <w:sz w:val="22"/>
          <w:szCs w:val="22"/>
        </w:rPr>
        <w:t>y</w:t>
      </w:r>
      <w:r w:rsidR="00452326">
        <w:rPr>
          <w:sz w:val="22"/>
          <w:szCs w:val="22"/>
        </w:rPr>
        <w:t xml:space="preserve"> </w:t>
      </w:r>
      <w:r w:rsidRPr="00AC0219" w:rsidR="008A19DA">
        <w:rPr>
          <w:sz w:val="22"/>
          <w:szCs w:val="22"/>
        </w:rPr>
        <w:t>no</w:t>
      </w:r>
      <w:r w:rsidR="00452326">
        <w:rPr>
          <w:sz w:val="22"/>
          <w:szCs w:val="22"/>
        </w:rPr>
        <w:t xml:space="preserve"> </w:t>
      </w:r>
      <w:r w:rsidRPr="00AC0219" w:rsidR="008A19DA">
        <w:rPr>
          <w:sz w:val="22"/>
          <w:szCs w:val="22"/>
        </w:rPr>
        <w:t>prepararse</w:t>
      </w:r>
      <w:r w:rsidR="00452326">
        <w:rPr>
          <w:sz w:val="22"/>
          <w:szCs w:val="22"/>
        </w:rPr>
        <w:t xml:space="preserve"> </w:t>
      </w:r>
      <w:r w:rsidRPr="00AC0219" w:rsidR="008A19DA">
        <w:rPr>
          <w:sz w:val="22"/>
          <w:szCs w:val="22"/>
        </w:rPr>
        <w:t>deja</w:t>
      </w:r>
      <w:r w:rsidR="00452326">
        <w:rPr>
          <w:sz w:val="22"/>
          <w:szCs w:val="22"/>
        </w:rPr>
        <w:t xml:space="preserve"> </w:t>
      </w:r>
      <w:r w:rsidRPr="00AC0219" w:rsidR="008A19DA">
        <w:rPr>
          <w:sz w:val="22"/>
          <w:szCs w:val="22"/>
        </w:rPr>
        <w:t>desprotegida</w:t>
      </w:r>
      <w:r w:rsidR="00452326">
        <w:rPr>
          <w:sz w:val="22"/>
          <w:szCs w:val="22"/>
        </w:rPr>
        <w:t xml:space="preserve"> </w:t>
      </w:r>
      <w:r w:rsidRPr="00AC0219" w:rsidR="008A19DA">
        <w:rPr>
          <w:sz w:val="22"/>
          <w:szCs w:val="22"/>
        </w:rPr>
        <w:t>a</w:t>
      </w:r>
      <w:r w:rsidR="00452326">
        <w:rPr>
          <w:sz w:val="22"/>
          <w:szCs w:val="22"/>
        </w:rPr>
        <w:t xml:space="preserve"> </w:t>
      </w:r>
      <w:r w:rsidRPr="00AC0219" w:rsidR="008A19DA">
        <w:rPr>
          <w:sz w:val="22"/>
          <w:szCs w:val="22"/>
        </w:rPr>
        <w:t>toda</w:t>
      </w:r>
      <w:r w:rsidR="00452326">
        <w:rPr>
          <w:sz w:val="22"/>
          <w:szCs w:val="22"/>
        </w:rPr>
        <w:t xml:space="preserve"> </w:t>
      </w:r>
      <w:r w:rsidRPr="00AC0219" w:rsidR="008A19DA">
        <w:rPr>
          <w:sz w:val="22"/>
          <w:szCs w:val="22"/>
        </w:rPr>
        <w:t>la</w:t>
      </w:r>
      <w:r w:rsidR="00452326">
        <w:rPr>
          <w:sz w:val="22"/>
          <w:szCs w:val="22"/>
        </w:rPr>
        <w:t xml:space="preserve"> </w:t>
      </w:r>
      <w:r w:rsidRPr="00AC0219" w:rsidR="008A19DA">
        <w:rPr>
          <w:sz w:val="22"/>
          <w:szCs w:val="22"/>
        </w:rPr>
        <w:t>organización</w:t>
      </w:r>
      <w:r w:rsidR="00452326">
        <w:rPr>
          <w:sz w:val="22"/>
          <w:szCs w:val="22"/>
        </w:rPr>
        <w:t xml:space="preserve"> </w:t>
      </w:r>
      <w:r w:rsidRPr="00AC0219" w:rsidR="008A19DA">
        <w:rPr>
          <w:sz w:val="22"/>
          <w:szCs w:val="22"/>
        </w:rPr>
        <w:t>(ISO-Tool,</w:t>
      </w:r>
      <w:r w:rsidR="00452326">
        <w:rPr>
          <w:sz w:val="22"/>
          <w:szCs w:val="22"/>
        </w:rPr>
        <w:t xml:space="preserve"> </w:t>
      </w:r>
      <w:r w:rsidRPr="00AC0219" w:rsidR="008A19DA">
        <w:rPr>
          <w:sz w:val="22"/>
          <w:szCs w:val="22"/>
        </w:rPr>
        <w:t>2022).</w:t>
      </w:r>
      <w:r w:rsidR="00452326">
        <w:rPr>
          <w:sz w:val="22"/>
          <w:szCs w:val="22"/>
        </w:rPr>
        <w:t xml:space="preserve"> </w:t>
      </w:r>
      <w:r w:rsidRPr="00AC0219" w:rsidR="008A19DA">
        <w:rPr>
          <w:sz w:val="22"/>
          <w:szCs w:val="22"/>
        </w:rPr>
        <w:t>Como</w:t>
      </w:r>
      <w:r w:rsidR="00452326">
        <w:rPr>
          <w:sz w:val="22"/>
          <w:szCs w:val="22"/>
        </w:rPr>
        <w:t xml:space="preserve"> </w:t>
      </w:r>
      <w:r w:rsidRPr="00AC0219" w:rsidR="008A19DA">
        <w:rPr>
          <w:sz w:val="22"/>
          <w:szCs w:val="22"/>
        </w:rPr>
        <w:t>resultado,</w:t>
      </w:r>
      <w:r w:rsidR="00452326">
        <w:rPr>
          <w:sz w:val="22"/>
          <w:szCs w:val="22"/>
        </w:rPr>
        <w:t xml:space="preserve"> </w:t>
      </w:r>
      <w:r w:rsidRPr="00AC0219" w:rsidR="008A19DA">
        <w:rPr>
          <w:sz w:val="22"/>
          <w:szCs w:val="22"/>
        </w:rPr>
        <w:t>cada</w:t>
      </w:r>
      <w:r w:rsidR="00452326">
        <w:rPr>
          <w:sz w:val="22"/>
          <w:szCs w:val="22"/>
        </w:rPr>
        <w:t xml:space="preserve"> </w:t>
      </w:r>
      <w:r w:rsidRPr="00AC0219" w:rsidR="008A19DA">
        <w:rPr>
          <w:sz w:val="22"/>
          <w:szCs w:val="22"/>
        </w:rPr>
        <w:t>vez</w:t>
      </w:r>
      <w:r w:rsidR="00452326">
        <w:rPr>
          <w:sz w:val="22"/>
          <w:szCs w:val="22"/>
        </w:rPr>
        <w:t xml:space="preserve"> </w:t>
      </w:r>
      <w:r w:rsidRPr="00AC0219" w:rsidR="008A19DA">
        <w:rPr>
          <w:sz w:val="22"/>
          <w:szCs w:val="22"/>
        </w:rPr>
        <w:t>más,</w:t>
      </w:r>
      <w:r w:rsidR="00452326">
        <w:rPr>
          <w:sz w:val="22"/>
          <w:szCs w:val="22"/>
        </w:rPr>
        <w:t xml:space="preserve"> </w:t>
      </w:r>
      <w:r w:rsidRPr="00AC0219" w:rsidR="008A19DA">
        <w:rPr>
          <w:sz w:val="22"/>
          <w:szCs w:val="22"/>
        </w:rPr>
        <w:t>los</w:t>
      </w:r>
      <w:r w:rsidR="00452326">
        <w:rPr>
          <w:sz w:val="22"/>
          <w:szCs w:val="22"/>
        </w:rPr>
        <w:t xml:space="preserve"> </w:t>
      </w:r>
      <w:r w:rsidRPr="00AC0219" w:rsidR="008A19DA">
        <w:rPr>
          <w:sz w:val="22"/>
          <w:szCs w:val="22"/>
        </w:rPr>
        <w:t>gerentes</w:t>
      </w:r>
      <w:r w:rsidR="00452326">
        <w:rPr>
          <w:sz w:val="22"/>
          <w:szCs w:val="22"/>
        </w:rPr>
        <w:t xml:space="preserve"> </w:t>
      </w:r>
      <w:r w:rsidRPr="1CDE9B95" w:rsidR="36697C75">
        <w:rPr>
          <w:sz w:val="22"/>
          <w:szCs w:val="22"/>
        </w:rPr>
        <w:t xml:space="preserve">y jefes de proyectos </w:t>
      </w:r>
      <w:r w:rsidRPr="1CDE9B95" w:rsidR="008A19DA">
        <w:rPr>
          <w:sz w:val="22"/>
          <w:szCs w:val="22"/>
        </w:rPr>
        <w:t>se</w:t>
      </w:r>
      <w:r w:rsidR="00452326">
        <w:rPr>
          <w:sz w:val="22"/>
          <w:szCs w:val="22"/>
        </w:rPr>
        <w:t xml:space="preserve"> </w:t>
      </w:r>
      <w:r w:rsidRPr="00AC0219" w:rsidR="008A19DA">
        <w:rPr>
          <w:sz w:val="22"/>
          <w:szCs w:val="22"/>
        </w:rPr>
        <w:t>involucran</w:t>
      </w:r>
      <w:r w:rsidR="00452326">
        <w:rPr>
          <w:sz w:val="22"/>
          <w:szCs w:val="22"/>
        </w:rPr>
        <w:t xml:space="preserve"> </w:t>
      </w:r>
      <w:r w:rsidRPr="00AC0219" w:rsidR="008A19DA">
        <w:rPr>
          <w:sz w:val="22"/>
          <w:szCs w:val="22"/>
        </w:rPr>
        <w:t>con</w:t>
      </w:r>
      <w:r w:rsidR="00452326">
        <w:rPr>
          <w:sz w:val="22"/>
          <w:szCs w:val="22"/>
        </w:rPr>
        <w:t xml:space="preserve"> </w:t>
      </w:r>
      <w:r w:rsidRPr="00AC0219" w:rsidR="008A19DA">
        <w:rPr>
          <w:sz w:val="22"/>
          <w:szCs w:val="22"/>
        </w:rPr>
        <w:t>acciones,</w:t>
      </w:r>
      <w:r w:rsidR="00452326">
        <w:rPr>
          <w:sz w:val="22"/>
          <w:szCs w:val="22"/>
        </w:rPr>
        <w:t xml:space="preserve"> </w:t>
      </w:r>
      <w:r w:rsidRPr="00AC0219" w:rsidR="008A19DA">
        <w:rPr>
          <w:sz w:val="22"/>
          <w:szCs w:val="22"/>
        </w:rPr>
        <w:t>prácticas</w:t>
      </w:r>
      <w:r w:rsidR="00452326">
        <w:rPr>
          <w:sz w:val="22"/>
          <w:szCs w:val="22"/>
        </w:rPr>
        <w:t xml:space="preserve"> </w:t>
      </w:r>
      <w:r w:rsidRPr="00AC0219" w:rsidR="008A19DA">
        <w:rPr>
          <w:sz w:val="22"/>
          <w:szCs w:val="22"/>
        </w:rPr>
        <w:t>y</w:t>
      </w:r>
      <w:r w:rsidR="00452326">
        <w:rPr>
          <w:sz w:val="22"/>
          <w:szCs w:val="22"/>
        </w:rPr>
        <w:t xml:space="preserve"> </w:t>
      </w:r>
      <w:r w:rsidRPr="00AC0219" w:rsidR="008A19DA">
        <w:rPr>
          <w:sz w:val="22"/>
          <w:szCs w:val="22"/>
        </w:rPr>
        <w:t>rutinas</w:t>
      </w:r>
      <w:r w:rsidR="00452326">
        <w:rPr>
          <w:sz w:val="22"/>
          <w:szCs w:val="22"/>
        </w:rPr>
        <w:t xml:space="preserve"> </w:t>
      </w:r>
      <w:r w:rsidRPr="00AC0219" w:rsidR="008A19DA">
        <w:rPr>
          <w:sz w:val="22"/>
          <w:szCs w:val="22"/>
        </w:rPr>
        <w:t>a</w:t>
      </w:r>
      <w:r w:rsidR="00452326">
        <w:rPr>
          <w:sz w:val="22"/>
          <w:szCs w:val="22"/>
        </w:rPr>
        <w:t xml:space="preserve"> </w:t>
      </w:r>
      <w:r w:rsidRPr="00AC0219" w:rsidR="008A19DA">
        <w:rPr>
          <w:sz w:val="22"/>
          <w:szCs w:val="22"/>
        </w:rPr>
        <w:t>través</w:t>
      </w:r>
      <w:r w:rsidR="00452326">
        <w:rPr>
          <w:sz w:val="22"/>
          <w:szCs w:val="22"/>
        </w:rPr>
        <w:t xml:space="preserve"> </w:t>
      </w:r>
      <w:r w:rsidRPr="00AC0219" w:rsidR="008A19DA">
        <w:rPr>
          <w:sz w:val="22"/>
          <w:szCs w:val="22"/>
        </w:rPr>
        <w:t>de</w:t>
      </w:r>
      <w:r w:rsidR="00452326">
        <w:rPr>
          <w:sz w:val="22"/>
          <w:szCs w:val="22"/>
        </w:rPr>
        <w:t xml:space="preserve"> </w:t>
      </w:r>
      <w:r w:rsidRPr="00AC0219" w:rsidR="008A19DA">
        <w:rPr>
          <w:sz w:val="22"/>
          <w:szCs w:val="22"/>
        </w:rPr>
        <w:t>las</w:t>
      </w:r>
      <w:r w:rsidR="00452326">
        <w:rPr>
          <w:sz w:val="22"/>
          <w:szCs w:val="22"/>
        </w:rPr>
        <w:t xml:space="preserve"> </w:t>
      </w:r>
      <w:r w:rsidRPr="00AC0219" w:rsidR="008A19DA">
        <w:rPr>
          <w:sz w:val="22"/>
          <w:szCs w:val="22"/>
        </w:rPr>
        <w:t>cuales</w:t>
      </w:r>
      <w:r w:rsidR="00452326">
        <w:rPr>
          <w:sz w:val="22"/>
          <w:szCs w:val="22"/>
        </w:rPr>
        <w:t xml:space="preserve"> </w:t>
      </w:r>
      <w:r w:rsidRPr="00AC0219" w:rsidR="008A19DA">
        <w:rPr>
          <w:sz w:val="22"/>
          <w:szCs w:val="22"/>
        </w:rPr>
        <w:t>dan</w:t>
      </w:r>
      <w:r w:rsidR="00452326">
        <w:rPr>
          <w:sz w:val="22"/>
          <w:szCs w:val="22"/>
        </w:rPr>
        <w:t xml:space="preserve"> </w:t>
      </w:r>
      <w:r w:rsidRPr="00AC0219" w:rsidR="008A19DA">
        <w:rPr>
          <w:sz w:val="22"/>
          <w:szCs w:val="22"/>
        </w:rPr>
        <w:t>sentido</w:t>
      </w:r>
      <w:r w:rsidR="00452326">
        <w:rPr>
          <w:sz w:val="22"/>
          <w:szCs w:val="22"/>
        </w:rPr>
        <w:t xml:space="preserve"> </w:t>
      </w:r>
      <w:r w:rsidRPr="00AC0219" w:rsidR="008A19DA">
        <w:rPr>
          <w:sz w:val="22"/>
          <w:szCs w:val="22"/>
        </w:rPr>
        <w:t>a</w:t>
      </w:r>
      <w:r w:rsidR="00452326">
        <w:rPr>
          <w:sz w:val="22"/>
          <w:szCs w:val="22"/>
        </w:rPr>
        <w:t xml:space="preserve"> </w:t>
      </w:r>
      <w:r w:rsidRPr="00AC0219" w:rsidR="008A19DA">
        <w:rPr>
          <w:sz w:val="22"/>
          <w:szCs w:val="22"/>
        </w:rPr>
        <w:t>la</w:t>
      </w:r>
      <w:r w:rsidR="00452326">
        <w:rPr>
          <w:sz w:val="22"/>
          <w:szCs w:val="22"/>
        </w:rPr>
        <w:t xml:space="preserve"> </w:t>
      </w:r>
      <w:r w:rsidRPr="00AC0219" w:rsidR="008A19DA">
        <w:rPr>
          <w:sz w:val="22"/>
          <w:szCs w:val="22"/>
        </w:rPr>
        <w:t>gestión</w:t>
      </w:r>
      <w:r w:rsidR="00452326">
        <w:rPr>
          <w:sz w:val="22"/>
          <w:szCs w:val="22"/>
        </w:rPr>
        <w:t xml:space="preserve"> </w:t>
      </w:r>
      <w:r w:rsidRPr="00AC0219" w:rsidR="008A19DA">
        <w:rPr>
          <w:sz w:val="22"/>
          <w:szCs w:val="22"/>
        </w:rPr>
        <w:t>del</w:t>
      </w:r>
      <w:r w:rsidR="00452326">
        <w:rPr>
          <w:sz w:val="22"/>
          <w:szCs w:val="22"/>
        </w:rPr>
        <w:t xml:space="preserve"> </w:t>
      </w:r>
      <w:r w:rsidRPr="00AC0219" w:rsidR="008A19DA">
        <w:rPr>
          <w:sz w:val="22"/>
          <w:szCs w:val="22"/>
        </w:rPr>
        <w:t>riesgo,</w:t>
      </w:r>
      <w:r w:rsidR="00452326">
        <w:rPr>
          <w:sz w:val="22"/>
          <w:szCs w:val="22"/>
        </w:rPr>
        <w:t xml:space="preserve"> </w:t>
      </w:r>
      <w:r w:rsidRPr="00AC0219" w:rsidR="008A19DA">
        <w:rPr>
          <w:sz w:val="22"/>
          <w:szCs w:val="22"/>
        </w:rPr>
        <w:t>a</w:t>
      </w:r>
      <w:r w:rsidR="00452326">
        <w:rPr>
          <w:sz w:val="22"/>
          <w:szCs w:val="22"/>
        </w:rPr>
        <w:t xml:space="preserve"> </w:t>
      </w:r>
      <w:r w:rsidRPr="00AC0219" w:rsidR="008A19DA">
        <w:rPr>
          <w:sz w:val="22"/>
          <w:szCs w:val="22"/>
        </w:rPr>
        <w:t>sí</w:t>
      </w:r>
      <w:r w:rsidR="00452326">
        <w:rPr>
          <w:sz w:val="22"/>
          <w:szCs w:val="22"/>
        </w:rPr>
        <w:t xml:space="preserve"> </w:t>
      </w:r>
      <w:r w:rsidRPr="00AC0219" w:rsidR="008A19DA">
        <w:rPr>
          <w:sz w:val="22"/>
          <w:szCs w:val="22"/>
        </w:rPr>
        <w:t>mismos</w:t>
      </w:r>
      <w:r w:rsidR="00452326">
        <w:rPr>
          <w:sz w:val="22"/>
          <w:szCs w:val="22"/>
        </w:rPr>
        <w:t xml:space="preserve"> </w:t>
      </w:r>
      <w:r w:rsidRPr="00AC0219" w:rsidR="008A19DA">
        <w:rPr>
          <w:sz w:val="22"/>
          <w:szCs w:val="22"/>
        </w:rPr>
        <w:t>y</w:t>
      </w:r>
      <w:r w:rsidR="00452326">
        <w:rPr>
          <w:sz w:val="22"/>
          <w:szCs w:val="22"/>
        </w:rPr>
        <w:t xml:space="preserve"> </w:t>
      </w:r>
      <w:r w:rsidRPr="00AC0219" w:rsidR="008A19DA">
        <w:rPr>
          <w:sz w:val="22"/>
          <w:szCs w:val="22"/>
        </w:rPr>
        <w:t>a</w:t>
      </w:r>
      <w:r w:rsidR="00452326">
        <w:rPr>
          <w:sz w:val="22"/>
          <w:szCs w:val="22"/>
        </w:rPr>
        <w:t xml:space="preserve"> </w:t>
      </w:r>
      <w:r w:rsidRPr="00AC0219" w:rsidR="008A19DA">
        <w:rPr>
          <w:sz w:val="22"/>
          <w:szCs w:val="22"/>
        </w:rPr>
        <w:t>sus</w:t>
      </w:r>
      <w:r w:rsidR="00452326">
        <w:rPr>
          <w:sz w:val="22"/>
          <w:szCs w:val="22"/>
        </w:rPr>
        <w:t xml:space="preserve"> </w:t>
      </w:r>
      <w:r w:rsidRPr="00AC0219" w:rsidR="008A19DA">
        <w:rPr>
          <w:sz w:val="22"/>
          <w:szCs w:val="22"/>
        </w:rPr>
        <w:t>roles</w:t>
      </w:r>
      <w:r w:rsidR="00452326">
        <w:rPr>
          <w:sz w:val="22"/>
          <w:szCs w:val="22"/>
        </w:rPr>
        <w:t xml:space="preserve"> </w:t>
      </w:r>
      <w:r w:rsidRPr="00AC0219" w:rsidR="008A19DA">
        <w:rPr>
          <w:sz w:val="22"/>
          <w:szCs w:val="22"/>
        </w:rPr>
        <w:t>(Mayer</w:t>
      </w:r>
      <w:r w:rsidR="00452326">
        <w:rPr>
          <w:sz w:val="22"/>
          <w:szCs w:val="22"/>
        </w:rPr>
        <w:t xml:space="preserve"> </w:t>
      </w:r>
      <w:r w:rsidRPr="00AC0219" w:rsidR="008A19DA">
        <w:rPr>
          <w:sz w:val="22"/>
          <w:szCs w:val="22"/>
        </w:rPr>
        <w:t>et</w:t>
      </w:r>
      <w:r w:rsidR="00452326">
        <w:rPr>
          <w:sz w:val="22"/>
          <w:szCs w:val="22"/>
        </w:rPr>
        <w:t xml:space="preserve"> </w:t>
      </w:r>
      <w:r w:rsidRPr="00AC0219" w:rsidR="008A19DA">
        <w:rPr>
          <w:sz w:val="22"/>
          <w:szCs w:val="22"/>
        </w:rPr>
        <w:t>al.,</w:t>
      </w:r>
      <w:r w:rsidR="00452326">
        <w:rPr>
          <w:sz w:val="22"/>
          <w:szCs w:val="22"/>
        </w:rPr>
        <w:t xml:space="preserve"> </w:t>
      </w:r>
      <w:r w:rsidRPr="00AC0219" w:rsidR="008A19DA">
        <w:rPr>
          <w:sz w:val="22"/>
          <w:szCs w:val="22"/>
        </w:rPr>
        <w:t>2020).</w:t>
      </w:r>
    </w:p>
    <w:p w:rsidR="006215F2" w:rsidP="00892844" w:rsidRDefault="008412DB" w14:paraId="252C197A" w14:textId="7D50A946">
      <w:pPr>
        <w:jc w:val="both"/>
        <w:rPr>
          <w:sz w:val="22"/>
          <w:szCs w:val="22"/>
        </w:rPr>
      </w:pPr>
      <w:r w:rsidRPr="00AC0219">
        <w:rPr>
          <w:sz w:val="22"/>
          <w:szCs w:val="22"/>
        </w:rPr>
        <w:t>En</w:t>
      </w:r>
      <w:r w:rsidR="00452326">
        <w:rPr>
          <w:sz w:val="22"/>
          <w:szCs w:val="22"/>
        </w:rPr>
        <w:t xml:space="preserve"> </w:t>
      </w:r>
      <w:r w:rsidRPr="00AC0219">
        <w:rPr>
          <w:sz w:val="22"/>
          <w:szCs w:val="22"/>
        </w:rPr>
        <w:t>este</w:t>
      </w:r>
      <w:r w:rsidR="00452326">
        <w:rPr>
          <w:sz w:val="22"/>
          <w:szCs w:val="22"/>
        </w:rPr>
        <w:t xml:space="preserve"> </w:t>
      </w:r>
      <w:r w:rsidRPr="00AC0219">
        <w:rPr>
          <w:sz w:val="22"/>
          <w:szCs w:val="22"/>
        </w:rPr>
        <w:t>contexto,</w:t>
      </w:r>
      <w:r w:rsidR="00452326">
        <w:rPr>
          <w:sz w:val="22"/>
          <w:szCs w:val="22"/>
        </w:rPr>
        <w:t xml:space="preserve"> </w:t>
      </w:r>
      <w:r w:rsidRPr="00AC0219">
        <w:rPr>
          <w:sz w:val="22"/>
          <w:szCs w:val="22"/>
        </w:rPr>
        <w:t>resulta</w:t>
      </w:r>
      <w:r w:rsidR="00452326">
        <w:rPr>
          <w:sz w:val="22"/>
          <w:szCs w:val="22"/>
        </w:rPr>
        <w:t xml:space="preserve"> </w:t>
      </w:r>
      <w:r w:rsidRPr="00AC0219">
        <w:rPr>
          <w:sz w:val="22"/>
          <w:szCs w:val="22"/>
        </w:rPr>
        <w:t>necesario</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análisis</w:t>
      </w:r>
      <w:r w:rsidR="00452326">
        <w:rPr>
          <w:sz w:val="22"/>
          <w:szCs w:val="22"/>
        </w:rPr>
        <w:t xml:space="preserve"> </w:t>
      </w:r>
      <w:r w:rsidRPr="00AC0219">
        <w:rPr>
          <w:sz w:val="22"/>
          <w:szCs w:val="22"/>
        </w:rPr>
        <w:t>multidimensional</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permita</w:t>
      </w:r>
      <w:r w:rsidR="00452326">
        <w:rPr>
          <w:sz w:val="22"/>
          <w:szCs w:val="22"/>
        </w:rPr>
        <w:t xml:space="preserve"> </w:t>
      </w:r>
      <w:r w:rsidRPr="00AC0219">
        <w:rPr>
          <w:sz w:val="22"/>
          <w:szCs w:val="22"/>
        </w:rPr>
        <w:t>comprender</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relación</w:t>
      </w:r>
      <w:r w:rsidR="00452326">
        <w:rPr>
          <w:sz w:val="22"/>
          <w:szCs w:val="22"/>
        </w:rPr>
        <w:t xml:space="preserve"> </w:t>
      </w:r>
      <w:r w:rsidRPr="00AC0219">
        <w:rPr>
          <w:sz w:val="22"/>
          <w:szCs w:val="22"/>
        </w:rPr>
        <w:t>sistémica</w:t>
      </w:r>
      <w:r w:rsidR="00452326">
        <w:rPr>
          <w:sz w:val="22"/>
          <w:szCs w:val="22"/>
        </w:rPr>
        <w:t xml:space="preserve"> </w:t>
      </w:r>
      <w:r w:rsidRPr="00AC0219">
        <w:rPr>
          <w:sz w:val="22"/>
          <w:szCs w:val="22"/>
        </w:rPr>
        <w:t>entre</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riesgo</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organización</w:t>
      </w:r>
      <w:r w:rsidR="00452326">
        <w:rPr>
          <w:sz w:val="22"/>
          <w:szCs w:val="22"/>
        </w:rPr>
        <w:t xml:space="preserve"> </w:t>
      </w:r>
      <w:r w:rsidRPr="00AC0219">
        <w:rPr>
          <w:sz w:val="22"/>
          <w:szCs w:val="22"/>
        </w:rPr>
        <w:t>tanto</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su</w:t>
      </w:r>
      <w:r w:rsidR="00452326">
        <w:rPr>
          <w:sz w:val="22"/>
          <w:szCs w:val="22"/>
        </w:rPr>
        <w:t xml:space="preserve"> </w:t>
      </w:r>
      <w:r w:rsidRPr="00AC0219">
        <w:rPr>
          <w:sz w:val="22"/>
          <w:szCs w:val="22"/>
        </w:rPr>
        <w:t>entorno</w:t>
      </w:r>
      <w:r w:rsidR="00452326">
        <w:rPr>
          <w:sz w:val="22"/>
          <w:szCs w:val="22"/>
        </w:rPr>
        <w:t xml:space="preserve"> </w:t>
      </w:r>
      <w:r w:rsidRPr="00AC0219">
        <w:rPr>
          <w:sz w:val="22"/>
          <w:szCs w:val="22"/>
        </w:rPr>
        <w:t>interno</w:t>
      </w:r>
      <w:r w:rsidR="00452326">
        <w:rPr>
          <w:sz w:val="22"/>
          <w:szCs w:val="22"/>
        </w:rPr>
        <w:t xml:space="preserve"> </w:t>
      </w:r>
      <w:r w:rsidRPr="00AC0219">
        <w:rPr>
          <w:sz w:val="22"/>
          <w:szCs w:val="22"/>
        </w:rPr>
        <w:t>como</w:t>
      </w:r>
      <w:r w:rsidR="00452326">
        <w:rPr>
          <w:sz w:val="22"/>
          <w:szCs w:val="22"/>
        </w:rPr>
        <w:t xml:space="preserve"> </w:t>
      </w:r>
      <w:r w:rsidRPr="00AC0219">
        <w:rPr>
          <w:sz w:val="22"/>
          <w:szCs w:val="22"/>
        </w:rPr>
        <w:t>externo,</w:t>
      </w:r>
      <w:r w:rsidR="00452326">
        <w:rPr>
          <w:sz w:val="22"/>
          <w:szCs w:val="22"/>
        </w:rPr>
        <w:t xml:space="preserve"> </w:t>
      </w:r>
      <w:r w:rsidRPr="00AC0219">
        <w:rPr>
          <w:sz w:val="22"/>
          <w:szCs w:val="22"/>
        </w:rPr>
        <w:t>considerando</w:t>
      </w:r>
      <w:r w:rsidR="00452326">
        <w:rPr>
          <w:sz w:val="22"/>
          <w:szCs w:val="22"/>
        </w:rPr>
        <w:t xml:space="preserve"> </w:t>
      </w:r>
      <w:r w:rsidRPr="00AC0219">
        <w:rPr>
          <w:sz w:val="22"/>
          <w:szCs w:val="22"/>
        </w:rPr>
        <w:t>su</w:t>
      </w:r>
      <w:r w:rsidR="00452326">
        <w:rPr>
          <w:sz w:val="22"/>
          <w:szCs w:val="22"/>
        </w:rPr>
        <w:t xml:space="preserve"> </w:t>
      </w:r>
      <w:r w:rsidRPr="00AC0219">
        <w:rPr>
          <w:sz w:val="22"/>
          <w:szCs w:val="22"/>
        </w:rPr>
        <w:t>articulación</w:t>
      </w:r>
      <w:r w:rsidR="00452326">
        <w:rPr>
          <w:sz w:val="22"/>
          <w:szCs w:val="22"/>
        </w:rPr>
        <w:t xml:space="preserve"> </w:t>
      </w:r>
      <w:r w:rsidRPr="00AC0219">
        <w:rPr>
          <w:sz w:val="22"/>
          <w:szCs w:val="22"/>
        </w:rPr>
        <w:t>con</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objetivos</w:t>
      </w:r>
      <w:r w:rsidR="00452326">
        <w:rPr>
          <w:sz w:val="22"/>
          <w:szCs w:val="22"/>
        </w:rPr>
        <w:t xml:space="preserve"> </w:t>
      </w:r>
      <w:r w:rsidRPr="00AC0219">
        <w:rPr>
          <w:sz w:val="22"/>
          <w:szCs w:val="22"/>
        </w:rPr>
        <w:t>estratégicos,</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gestión</w:t>
      </w:r>
      <w:r w:rsidR="00452326">
        <w:rPr>
          <w:sz w:val="22"/>
          <w:szCs w:val="22"/>
        </w:rPr>
        <w:t xml:space="preserve"> </w:t>
      </w:r>
      <w:r w:rsidRPr="00AC0219">
        <w:rPr>
          <w:sz w:val="22"/>
          <w:szCs w:val="22"/>
        </w:rPr>
        <w:t>financiera,</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innovación,</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tecnología,</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seguridad</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información</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procesos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transformación</w:t>
      </w:r>
      <w:r w:rsidR="00452326">
        <w:rPr>
          <w:sz w:val="22"/>
          <w:szCs w:val="22"/>
        </w:rPr>
        <w:t xml:space="preserve"> </w:t>
      </w:r>
      <w:r w:rsidRPr="00AC0219">
        <w:rPr>
          <w:sz w:val="22"/>
          <w:szCs w:val="22"/>
        </w:rPr>
        <w:t>digital</w:t>
      </w:r>
      <w:r w:rsidRPr="00AC0219" w:rsidR="00504B0B">
        <w:rPr>
          <w:sz w:val="22"/>
          <w:szCs w:val="22"/>
        </w:rPr>
        <w:t>.</w:t>
      </w:r>
    </w:p>
    <w:p w:rsidR="00892844" w:rsidP="00892844" w:rsidRDefault="00892844" w14:paraId="13E36809" w14:textId="77777777">
      <w:pPr>
        <w:jc w:val="both"/>
        <w:rPr>
          <w:sz w:val="22"/>
          <w:szCs w:val="22"/>
        </w:rPr>
      </w:pPr>
    </w:p>
    <w:p w:rsidR="111FA213" w:rsidP="111FA213" w:rsidRDefault="111FA213" w14:paraId="3A970682" w14:textId="1F1909A7">
      <w:pPr>
        <w:jc w:val="both"/>
        <w:rPr>
          <w:sz w:val="22"/>
          <w:szCs w:val="22"/>
        </w:rPr>
      </w:pPr>
    </w:p>
    <w:p w:rsidR="00A66C54" w:rsidP="111FA213" w:rsidRDefault="00A66C54" w14:paraId="50D8B5D9" w14:textId="77777777">
      <w:pPr>
        <w:jc w:val="both"/>
        <w:rPr>
          <w:sz w:val="22"/>
          <w:szCs w:val="22"/>
        </w:rPr>
      </w:pPr>
    </w:p>
    <w:p w:rsidRPr="00AC0219" w:rsidR="009A06FB" w:rsidP="00920364" w:rsidRDefault="009A06FB" w14:paraId="264749AB" w14:textId="1B764412">
      <w:pPr>
        <w:pStyle w:val="Ttulo1"/>
        <w:numPr>
          <w:ilvl w:val="0"/>
          <w:numId w:val="6"/>
        </w:numPr>
        <w:jc w:val="center"/>
        <w:rPr>
          <w:rFonts w:asciiTheme="minorHAnsi" w:hAnsiTheme="minorHAnsi"/>
          <w:b/>
          <w:bCs/>
          <w:color w:val="auto"/>
          <w:sz w:val="24"/>
          <w:szCs w:val="24"/>
        </w:rPr>
      </w:pPr>
      <w:bookmarkStart w:name="_Toc225160594" w:id="1"/>
      <w:r w:rsidRPr="00AC0219">
        <w:rPr>
          <w:rFonts w:asciiTheme="minorHAnsi" w:hAnsiTheme="minorHAnsi"/>
          <w:b/>
          <w:bCs/>
          <w:color w:val="auto"/>
          <w:sz w:val="24"/>
          <w:szCs w:val="24"/>
        </w:rPr>
        <w:lastRenderedPageBreak/>
        <w:t>JUSTIFICACIÓN</w:t>
      </w:r>
      <w:bookmarkEnd w:id="1"/>
    </w:p>
    <w:p w:rsidRPr="00AC0219" w:rsidR="00213F29" w:rsidP="00A7003C" w:rsidRDefault="00213F29" w14:paraId="2EA74CB0" w14:textId="77777777">
      <w:pPr>
        <w:jc w:val="both"/>
        <w:rPr>
          <w:sz w:val="22"/>
          <w:szCs w:val="22"/>
        </w:rPr>
      </w:pPr>
    </w:p>
    <w:p w:rsidRPr="00AC0219" w:rsidR="00C73964" w:rsidP="00A7003C" w:rsidRDefault="007B007C" w14:paraId="526C3731" w14:textId="6B98F0B1">
      <w:pPr>
        <w:jc w:val="both"/>
        <w:rPr>
          <w:sz w:val="22"/>
          <w:szCs w:val="22"/>
        </w:rPr>
      </w:pPr>
      <w:r w:rsidRPr="00AC0219">
        <w:rPr>
          <w:sz w:val="22"/>
          <w:szCs w:val="22"/>
        </w:rPr>
        <w:t>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contexto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administración</w:t>
      </w:r>
      <w:r w:rsidR="00452326">
        <w:rPr>
          <w:sz w:val="22"/>
          <w:szCs w:val="22"/>
        </w:rPr>
        <w:t xml:space="preserve"> </w:t>
      </w:r>
      <w:r w:rsidRPr="00AC0219">
        <w:rPr>
          <w:sz w:val="22"/>
          <w:szCs w:val="22"/>
        </w:rPr>
        <w:t>pública,</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gestión</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riesgos</w:t>
      </w:r>
      <w:r w:rsidR="00452326">
        <w:rPr>
          <w:sz w:val="22"/>
          <w:szCs w:val="22"/>
        </w:rPr>
        <w:t xml:space="preserve"> </w:t>
      </w:r>
      <w:r w:rsidRPr="00AC0219">
        <w:rPr>
          <w:sz w:val="22"/>
          <w:szCs w:val="22"/>
        </w:rPr>
        <w:t>se</w:t>
      </w:r>
      <w:r w:rsidR="00452326">
        <w:rPr>
          <w:sz w:val="22"/>
          <w:szCs w:val="22"/>
        </w:rPr>
        <w:t xml:space="preserve"> </w:t>
      </w:r>
      <w:r w:rsidRPr="00AC0219">
        <w:rPr>
          <w:sz w:val="22"/>
          <w:szCs w:val="22"/>
        </w:rPr>
        <w:t>apoya</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conjunto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marcos</w:t>
      </w:r>
      <w:r w:rsidR="00452326">
        <w:rPr>
          <w:sz w:val="22"/>
          <w:szCs w:val="22"/>
        </w:rPr>
        <w:t xml:space="preserve"> </w:t>
      </w:r>
      <w:r w:rsidRPr="00AC0219">
        <w:rPr>
          <w:sz w:val="22"/>
          <w:szCs w:val="22"/>
        </w:rPr>
        <w:t>conceptuales,</w:t>
      </w:r>
      <w:r w:rsidR="00452326">
        <w:rPr>
          <w:sz w:val="22"/>
          <w:szCs w:val="22"/>
        </w:rPr>
        <w:t xml:space="preserve"> </w:t>
      </w:r>
      <w:r w:rsidRPr="00AC0219">
        <w:rPr>
          <w:sz w:val="22"/>
          <w:szCs w:val="22"/>
        </w:rPr>
        <w:t>modelos</w:t>
      </w:r>
      <w:r w:rsidR="00452326">
        <w:rPr>
          <w:sz w:val="22"/>
          <w:szCs w:val="22"/>
        </w:rPr>
        <w:t xml:space="preserve"> </w:t>
      </w:r>
      <w:r w:rsidRPr="00AC0219">
        <w:rPr>
          <w:sz w:val="22"/>
          <w:szCs w:val="22"/>
        </w:rPr>
        <w:t>normativos,</w:t>
      </w:r>
      <w:r w:rsidR="00452326">
        <w:rPr>
          <w:sz w:val="22"/>
          <w:szCs w:val="22"/>
        </w:rPr>
        <w:t xml:space="preserve"> </w:t>
      </w:r>
      <w:r w:rsidRPr="00AC0219">
        <w:rPr>
          <w:sz w:val="22"/>
          <w:szCs w:val="22"/>
        </w:rPr>
        <w:t>estándares</w:t>
      </w:r>
      <w:r w:rsidR="00452326">
        <w:rPr>
          <w:sz w:val="22"/>
          <w:szCs w:val="22"/>
        </w:rPr>
        <w:t xml:space="preserve"> </w:t>
      </w:r>
      <w:r w:rsidRPr="00AC0219">
        <w:rPr>
          <w:sz w:val="22"/>
          <w:szCs w:val="22"/>
        </w:rPr>
        <w:t>internacionales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metodologías</w:t>
      </w:r>
      <w:r w:rsidR="00452326">
        <w:rPr>
          <w:sz w:val="22"/>
          <w:szCs w:val="22"/>
        </w:rPr>
        <w:t xml:space="preserve"> </w:t>
      </w:r>
      <w:r w:rsidRPr="00AC0219">
        <w:rPr>
          <w:sz w:val="22"/>
          <w:szCs w:val="22"/>
        </w:rPr>
        <w:t>especializadas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guían</w:t>
      </w:r>
      <w:r w:rsidR="00452326">
        <w:rPr>
          <w:sz w:val="22"/>
          <w:szCs w:val="22"/>
        </w:rPr>
        <w:t xml:space="preserve"> </w:t>
      </w:r>
      <w:r w:rsidRPr="00AC0219">
        <w:rPr>
          <w:sz w:val="22"/>
          <w:szCs w:val="22"/>
        </w:rPr>
        <w:t>a</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entidades</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procesos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identificación,</w:t>
      </w:r>
      <w:r w:rsidR="00452326">
        <w:rPr>
          <w:sz w:val="22"/>
          <w:szCs w:val="22"/>
        </w:rPr>
        <w:t xml:space="preserve"> </w:t>
      </w:r>
      <w:r w:rsidRPr="00AC0219">
        <w:rPr>
          <w:sz w:val="22"/>
          <w:szCs w:val="22"/>
        </w:rPr>
        <w:t>análisis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tratamiento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riesgos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puedan</w:t>
      </w:r>
      <w:r w:rsidR="00452326">
        <w:rPr>
          <w:sz w:val="22"/>
          <w:szCs w:val="22"/>
        </w:rPr>
        <w:t xml:space="preserve"> </w:t>
      </w:r>
      <w:r w:rsidRPr="00AC0219">
        <w:rPr>
          <w:sz w:val="22"/>
          <w:szCs w:val="22"/>
        </w:rPr>
        <w:t>afectar</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logro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sus</w:t>
      </w:r>
      <w:r w:rsidR="00452326">
        <w:rPr>
          <w:sz w:val="22"/>
          <w:szCs w:val="22"/>
        </w:rPr>
        <w:t xml:space="preserve"> </w:t>
      </w:r>
      <w:r w:rsidRPr="00AC0219">
        <w:rPr>
          <w:sz w:val="22"/>
          <w:szCs w:val="22"/>
        </w:rPr>
        <w:t>objetivos</w:t>
      </w:r>
      <w:r w:rsidR="00452326">
        <w:rPr>
          <w:sz w:val="22"/>
          <w:szCs w:val="22"/>
        </w:rPr>
        <w:t xml:space="preserve"> </w:t>
      </w:r>
      <w:r w:rsidRPr="00AC0219">
        <w:rPr>
          <w:sz w:val="22"/>
          <w:szCs w:val="22"/>
        </w:rPr>
        <w:t>estratégicos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misionales.</w:t>
      </w:r>
      <w:r w:rsidR="00452326">
        <w:rPr>
          <w:sz w:val="22"/>
          <w:szCs w:val="22"/>
        </w:rPr>
        <w:t xml:space="preserve"> </w:t>
      </w:r>
    </w:p>
    <w:p w:rsidR="00442798" w:rsidP="00A7003C" w:rsidRDefault="007B007C" w14:paraId="12B8B514" w14:textId="77777777">
      <w:pPr>
        <w:jc w:val="both"/>
        <w:rPr>
          <w:sz w:val="22"/>
          <w:szCs w:val="22"/>
        </w:rPr>
      </w:pPr>
      <w:r w:rsidRPr="00AC0219">
        <w:rPr>
          <w:sz w:val="22"/>
          <w:szCs w:val="22"/>
        </w:rPr>
        <w:t>Dichos</w:t>
      </w:r>
      <w:r w:rsidR="00452326">
        <w:rPr>
          <w:sz w:val="22"/>
          <w:szCs w:val="22"/>
        </w:rPr>
        <w:t xml:space="preserve"> </w:t>
      </w:r>
      <w:r w:rsidRPr="00AC0219">
        <w:rPr>
          <w:sz w:val="22"/>
          <w:szCs w:val="22"/>
        </w:rPr>
        <w:t>instrumentos</w:t>
      </w:r>
      <w:r w:rsidR="00452326">
        <w:rPr>
          <w:sz w:val="22"/>
          <w:szCs w:val="22"/>
        </w:rPr>
        <w:t xml:space="preserve"> </w:t>
      </w:r>
      <w:r w:rsidRPr="00AC0219">
        <w:rPr>
          <w:sz w:val="22"/>
          <w:szCs w:val="22"/>
        </w:rPr>
        <w:t>pueden</w:t>
      </w:r>
      <w:r w:rsidR="00452326">
        <w:rPr>
          <w:sz w:val="22"/>
          <w:szCs w:val="22"/>
        </w:rPr>
        <w:t xml:space="preserve"> </w:t>
      </w:r>
      <w:r w:rsidRPr="00AC0219">
        <w:rPr>
          <w:sz w:val="22"/>
          <w:szCs w:val="22"/>
        </w:rPr>
        <w:t>ser</w:t>
      </w:r>
      <w:r w:rsidR="00452326">
        <w:rPr>
          <w:sz w:val="22"/>
          <w:szCs w:val="22"/>
        </w:rPr>
        <w:t xml:space="preserve"> </w:t>
      </w:r>
      <w:r w:rsidRPr="00AC0219">
        <w:rPr>
          <w:sz w:val="22"/>
          <w:szCs w:val="22"/>
        </w:rPr>
        <w:t>implementados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forma</w:t>
      </w:r>
      <w:r w:rsidR="00452326">
        <w:rPr>
          <w:sz w:val="22"/>
          <w:szCs w:val="22"/>
        </w:rPr>
        <w:t xml:space="preserve"> </w:t>
      </w:r>
      <w:r w:rsidRPr="00AC0219">
        <w:rPr>
          <w:sz w:val="22"/>
          <w:szCs w:val="22"/>
        </w:rPr>
        <w:t>autónoma</w:t>
      </w:r>
      <w:r w:rsidR="00452326">
        <w:rPr>
          <w:sz w:val="22"/>
          <w:szCs w:val="22"/>
        </w:rPr>
        <w:t xml:space="preserve"> </w:t>
      </w:r>
      <w:r w:rsidRPr="00AC0219">
        <w:rPr>
          <w:sz w:val="22"/>
          <w:szCs w:val="22"/>
        </w:rPr>
        <w:t>o</w:t>
      </w:r>
      <w:r w:rsidR="00452326">
        <w:rPr>
          <w:sz w:val="22"/>
          <w:szCs w:val="22"/>
        </w:rPr>
        <w:t xml:space="preserve"> </w:t>
      </w:r>
      <w:r w:rsidRPr="00AC0219">
        <w:rPr>
          <w:sz w:val="22"/>
          <w:szCs w:val="22"/>
        </w:rPr>
        <w:t>bajo</w:t>
      </w:r>
      <w:r w:rsidR="00452326">
        <w:rPr>
          <w:sz w:val="22"/>
          <w:szCs w:val="22"/>
        </w:rPr>
        <w:t xml:space="preserve"> </w:t>
      </w:r>
      <w:r w:rsidRPr="00AC0219">
        <w:rPr>
          <w:sz w:val="22"/>
          <w:szCs w:val="22"/>
        </w:rPr>
        <w:t>esquemas</w:t>
      </w:r>
      <w:r w:rsidR="00452326">
        <w:rPr>
          <w:sz w:val="22"/>
          <w:szCs w:val="22"/>
        </w:rPr>
        <w:t xml:space="preserve"> </w:t>
      </w:r>
      <w:r w:rsidRPr="00AC0219">
        <w:rPr>
          <w:sz w:val="22"/>
          <w:szCs w:val="22"/>
        </w:rPr>
        <w:t>integrados,</w:t>
      </w:r>
      <w:r w:rsidR="00452326">
        <w:rPr>
          <w:sz w:val="22"/>
          <w:szCs w:val="22"/>
        </w:rPr>
        <w:t xml:space="preserve"> </w:t>
      </w:r>
      <w:r w:rsidRPr="00AC0219">
        <w:rPr>
          <w:sz w:val="22"/>
          <w:szCs w:val="22"/>
        </w:rPr>
        <w:t>lo</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contribuye</w:t>
      </w:r>
      <w:r w:rsidR="00452326">
        <w:rPr>
          <w:sz w:val="22"/>
          <w:szCs w:val="22"/>
        </w:rPr>
        <w:t xml:space="preserve"> </w:t>
      </w:r>
      <w:r w:rsidRPr="00AC0219">
        <w:rPr>
          <w:sz w:val="22"/>
          <w:szCs w:val="22"/>
        </w:rPr>
        <w:t>a</w:t>
      </w:r>
      <w:r w:rsidR="00452326">
        <w:rPr>
          <w:sz w:val="22"/>
          <w:szCs w:val="22"/>
        </w:rPr>
        <w:t xml:space="preserve"> </w:t>
      </w:r>
      <w:r w:rsidRPr="00AC0219">
        <w:rPr>
          <w:sz w:val="22"/>
          <w:szCs w:val="22"/>
        </w:rPr>
        <w:t>fortalecer</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coherencia</w:t>
      </w:r>
      <w:r w:rsidR="00452326">
        <w:rPr>
          <w:sz w:val="22"/>
          <w:szCs w:val="22"/>
        </w:rPr>
        <w:t xml:space="preserve"> </w:t>
      </w:r>
      <w:r w:rsidRPr="00AC0219">
        <w:rPr>
          <w:sz w:val="22"/>
          <w:szCs w:val="22"/>
        </w:rPr>
        <w:t>institucional</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favorece</w:t>
      </w:r>
      <w:r w:rsidR="00452326">
        <w:rPr>
          <w:sz w:val="22"/>
          <w:szCs w:val="22"/>
        </w:rPr>
        <w:t xml:space="preserve"> </w:t>
      </w:r>
      <w:r w:rsidRPr="00AC0219">
        <w:rPr>
          <w:sz w:val="22"/>
          <w:szCs w:val="22"/>
        </w:rPr>
        <w:t>una</w:t>
      </w:r>
      <w:r w:rsidR="00452326">
        <w:rPr>
          <w:sz w:val="22"/>
          <w:szCs w:val="22"/>
        </w:rPr>
        <w:t xml:space="preserve"> </w:t>
      </w:r>
      <w:r w:rsidRPr="00AC0219">
        <w:rPr>
          <w:sz w:val="22"/>
          <w:szCs w:val="22"/>
        </w:rPr>
        <w:t>toma</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decisiones</w:t>
      </w:r>
      <w:r w:rsidR="00452326">
        <w:rPr>
          <w:sz w:val="22"/>
          <w:szCs w:val="22"/>
        </w:rPr>
        <w:t xml:space="preserve"> </w:t>
      </w:r>
      <w:r w:rsidRPr="00AC0219">
        <w:rPr>
          <w:sz w:val="22"/>
          <w:szCs w:val="22"/>
        </w:rPr>
        <w:t>fundamentada</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datos</w:t>
      </w:r>
      <w:r w:rsidR="00452326">
        <w:rPr>
          <w:sz w:val="22"/>
          <w:szCs w:val="22"/>
        </w:rPr>
        <w:t xml:space="preserve"> </w:t>
      </w:r>
      <w:r w:rsidRPr="00AC0219">
        <w:rPr>
          <w:sz w:val="22"/>
          <w:szCs w:val="22"/>
        </w:rPr>
        <w:t>objetivos.</w:t>
      </w:r>
      <w:r w:rsidR="00452326">
        <w:rPr>
          <w:sz w:val="22"/>
          <w:szCs w:val="22"/>
        </w:rPr>
        <w:t xml:space="preserve"> </w:t>
      </w:r>
      <w:r w:rsidRPr="00AC0219" w:rsidR="00C73964">
        <w:rPr>
          <w:sz w:val="22"/>
          <w:szCs w:val="22"/>
        </w:rPr>
        <w:t>Para</w:t>
      </w:r>
      <w:r w:rsidR="00452326">
        <w:rPr>
          <w:sz w:val="22"/>
          <w:szCs w:val="22"/>
        </w:rPr>
        <w:t xml:space="preserve"> </w:t>
      </w:r>
      <w:r w:rsidRPr="00AC0219" w:rsidR="00C73964">
        <w:rPr>
          <w:sz w:val="22"/>
          <w:szCs w:val="22"/>
        </w:rPr>
        <w:t>esta</w:t>
      </w:r>
      <w:r w:rsidR="00452326">
        <w:rPr>
          <w:sz w:val="22"/>
          <w:szCs w:val="22"/>
        </w:rPr>
        <w:t xml:space="preserve"> </w:t>
      </w:r>
      <w:r w:rsidRPr="00AC0219" w:rsidR="00C73964">
        <w:rPr>
          <w:sz w:val="22"/>
          <w:szCs w:val="22"/>
        </w:rPr>
        <w:t>labor,</w:t>
      </w:r>
      <w:r w:rsidR="00452326">
        <w:rPr>
          <w:sz w:val="22"/>
          <w:szCs w:val="22"/>
        </w:rPr>
        <w:t xml:space="preserve"> </w:t>
      </w:r>
      <w:r w:rsidRPr="00AC0219" w:rsidR="00C73964">
        <w:rPr>
          <w:sz w:val="22"/>
          <w:szCs w:val="22"/>
        </w:rPr>
        <w:t>las</w:t>
      </w:r>
      <w:r w:rsidR="00452326">
        <w:rPr>
          <w:sz w:val="22"/>
          <w:szCs w:val="22"/>
        </w:rPr>
        <w:t xml:space="preserve"> </w:t>
      </w:r>
      <w:r w:rsidRPr="00AC0219" w:rsidR="00C73964">
        <w:rPr>
          <w:sz w:val="22"/>
          <w:szCs w:val="22"/>
        </w:rPr>
        <w:t>instituciones</w:t>
      </w:r>
      <w:r w:rsidR="00452326">
        <w:rPr>
          <w:sz w:val="22"/>
          <w:szCs w:val="22"/>
        </w:rPr>
        <w:t xml:space="preserve"> </w:t>
      </w:r>
      <w:r w:rsidRPr="00AC0219" w:rsidR="00C73964">
        <w:rPr>
          <w:sz w:val="22"/>
          <w:szCs w:val="22"/>
        </w:rPr>
        <w:t>pueden</w:t>
      </w:r>
      <w:r w:rsidR="00452326">
        <w:rPr>
          <w:sz w:val="22"/>
          <w:szCs w:val="22"/>
        </w:rPr>
        <w:t xml:space="preserve"> </w:t>
      </w:r>
      <w:r w:rsidRPr="00AC0219" w:rsidR="00C73964">
        <w:rPr>
          <w:sz w:val="22"/>
          <w:szCs w:val="22"/>
        </w:rPr>
        <w:t>optar</w:t>
      </w:r>
      <w:r w:rsidR="00452326">
        <w:rPr>
          <w:sz w:val="22"/>
          <w:szCs w:val="22"/>
        </w:rPr>
        <w:t xml:space="preserve"> </w:t>
      </w:r>
      <w:r w:rsidRPr="00AC0219" w:rsidR="00C73964">
        <w:rPr>
          <w:sz w:val="22"/>
          <w:szCs w:val="22"/>
        </w:rPr>
        <w:t>por</w:t>
      </w:r>
      <w:r w:rsidR="00452326">
        <w:rPr>
          <w:sz w:val="22"/>
          <w:szCs w:val="22"/>
        </w:rPr>
        <w:t xml:space="preserve"> </w:t>
      </w:r>
      <w:r w:rsidRPr="00AC0219" w:rsidR="00C73964">
        <w:rPr>
          <w:sz w:val="22"/>
          <w:szCs w:val="22"/>
        </w:rPr>
        <w:t>implementar</w:t>
      </w:r>
      <w:r w:rsidR="00452326">
        <w:rPr>
          <w:sz w:val="22"/>
          <w:szCs w:val="22"/>
        </w:rPr>
        <w:t xml:space="preserve"> </w:t>
      </w:r>
      <w:r w:rsidRPr="00AC0219" w:rsidR="00C73964">
        <w:rPr>
          <w:sz w:val="22"/>
          <w:szCs w:val="22"/>
        </w:rPr>
        <w:t>los</w:t>
      </w:r>
      <w:r w:rsidR="00452326">
        <w:rPr>
          <w:sz w:val="22"/>
          <w:szCs w:val="22"/>
        </w:rPr>
        <w:t xml:space="preserve"> </w:t>
      </w:r>
      <w:r w:rsidRPr="00AC0219" w:rsidR="00C73964">
        <w:rPr>
          <w:sz w:val="22"/>
          <w:szCs w:val="22"/>
        </w:rPr>
        <w:t>lineamientos</w:t>
      </w:r>
      <w:r w:rsidR="00452326">
        <w:rPr>
          <w:sz w:val="22"/>
          <w:szCs w:val="22"/>
        </w:rPr>
        <w:t xml:space="preserve"> </w:t>
      </w:r>
      <w:r w:rsidRPr="00AC0219" w:rsidR="00C73964">
        <w:rPr>
          <w:sz w:val="22"/>
          <w:szCs w:val="22"/>
        </w:rPr>
        <w:t>de</w:t>
      </w:r>
      <w:r w:rsidR="00452326">
        <w:rPr>
          <w:sz w:val="22"/>
          <w:szCs w:val="22"/>
        </w:rPr>
        <w:t xml:space="preserve"> </w:t>
      </w:r>
      <w:r w:rsidRPr="00AC0219" w:rsidR="00C73964">
        <w:rPr>
          <w:sz w:val="22"/>
          <w:szCs w:val="22"/>
        </w:rPr>
        <w:t>las</w:t>
      </w:r>
      <w:r w:rsidR="00452326">
        <w:rPr>
          <w:sz w:val="22"/>
          <w:szCs w:val="22"/>
        </w:rPr>
        <w:t xml:space="preserve"> </w:t>
      </w:r>
      <w:r w:rsidRPr="00AC0219" w:rsidR="00C73964">
        <w:rPr>
          <w:sz w:val="22"/>
          <w:szCs w:val="22"/>
        </w:rPr>
        <w:t>n</w:t>
      </w:r>
      <w:r w:rsidRPr="00AC0219">
        <w:rPr>
          <w:sz w:val="22"/>
          <w:szCs w:val="22"/>
        </w:rPr>
        <w:t>ormas</w:t>
      </w:r>
      <w:r w:rsidR="00452326">
        <w:rPr>
          <w:sz w:val="22"/>
          <w:szCs w:val="22"/>
        </w:rPr>
        <w:t xml:space="preserve"> </w:t>
      </w:r>
      <w:r w:rsidRPr="00AC0219">
        <w:rPr>
          <w:sz w:val="22"/>
          <w:szCs w:val="22"/>
        </w:rPr>
        <w:t>emitidas</w:t>
      </w:r>
      <w:r w:rsidR="00452326">
        <w:rPr>
          <w:sz w:val="22"/>
          <w:szCs w:val="22"/>
        </w:rPr>
        <w:t xml:space="preserve"> </w:t>
      </w:r>
      <w:r w:rsidRPr="00AC0219">
        <w:rPr>
          <w:sz w:val="22"/>
          <w:szCs w:val="22"/>
        </w:rPr>
        <w:t>por</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Organización</w:t>
      </w:r>
      <w:r w:rsidR="00452326">
        <w:rPr>
          <w:sz w:val="22"/>
          <w:szCs w:val="22"/>
        </w:rPr>
        <w:t xml:space="preserve"> </w:t>
      </w:r>
      <w:r w:rsidRPr="00AC0219">
        <w:rPr>
          <w:sz w:val="22"/>
          <w:szCs w:val="22"/>
        </w:rPr>
        <w:t>Internacional</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Normalización</w:t>
      </w:r>
      <w:r w:rsidR="00452326">
        <w:rPr>
          <w:sz w:val="22"/>
          <w:szCs w:val="22"/>
        </w:rPr>
        <w:t xml:space="preserve"> </w:t>
      </w:r>
      <w:r w:rsidRPr="00AC0219">
        <w:rPr>
          <w:sz w:val="22"/>
          <w:szCs w:val="22"/>
        </w:rPr>
        <w:t>(ISO)</w:t>
      </w:r>
      <w:r w:rsidR="00452326">
        <w:rPr>
          <w:sz w:val="22"/>
          <w:szCs w:val="22"/>
        </w:rPr>
        <w:t xml:space="preserve"> </w:t>
      </w:r>
      <w:r w:rsidRPr="00AC0219" w:rsidR="00C73964">
        <w:rPr>
          <w:sz w:val="22"/>
          <w:szCs w:val="22"/>
        </w:rPr>
        <w:t>así</w:t>
      </w:r>
      <w:r w:rsidR="00452326">
        <w:rPr>
          <w:sz w:val="22"/>
          <w:szCs w:val="22"/>
        </w:rPr>
        <w:t xml:space="preserve"> </w:t>
      </w:r>
      <w:r w:rsidRPr="00AC0219" w:rsidR="00C73964">
        <w:rPr>
          <w:sz w:val="22"/>
          <w:szCs w:val="22"/>
        </w:rPr>
        <w:t>como</w:t>
      </w:r>
      <w:r w:rsidR="00452326">
        <w:rPr>
          <w:sz w:val="22"/>
          <w:szCs w:val="22"/>
        </w:rPr>
        <w:t xml:space="preserve"> </w:t>
      </w:r>
      <w:r w:rsidRPr="00AC0219" w:rsidR="00C73964">
        <w:rPr>
          <w:sz w:val="22"/>
          <w:szCs w:val="22"/>
        </w:rPr>
        <w:t>las</w:t>
      </w:r>
      <w:r w:rsidR="00452326">
        <w:rPr>
          <w:sz w:val="22"/>
          <w:szCs w:val="22"/>
        </w:rPr>
        <w:t xml:space="preserve"> </w:t>
      </w:r>
      <w:r w:rsidRPr="00AC0219" w:rsidR="00C73964">
        <w:rPr>
          <w:sz w:val="22"/>
          <w:szCs w:val="22"/>
        </w:rPr>
        <w:t>directrices</w:t>
      </w:r>
      <w:r w:rsidR="00452326">
        <w:rPr>
          <w:sz w:val="22"/>
          <w:szCs w:val="22"/>
        </w:rPr>
        <w:t xml:space="preserve"> </w:t>
      </w:r>
      <w:r w:rsidRPr="00AC0219" w:rsidR="00C73964">
        <w:rPr>
          <w:sz w:val="22"/>
          <w:szCs w:val="22"/>
        </w:rPr>
        <w:t>del</w:t>
      </w:r>
      <w:r w:rsidR="00452326">
        <w:rPr>
          <w:sz w:val="22"/>
          <w:szCs w:val="22"/>
        </w:rPr>
        <w:t xml:space="preserve"> </w:t>
      </w:r>
      <w:r w:rsidRPr="00AC0219" w:rsidR="00C73964">
        <w:rPr>
          <w:sz w:val="22"/>
          <w:szCs w:val="22"/>
        </w:rPr>
        <w:t>departamento</w:t>
      </w:r>
      <w:r w:rsidR="00452326">
        <w:rPr>
          <w:sz w:val="22"/>
          <w:szCs w:val="22"/>
        </w:rPr>
        <w:t xml:space="preserve"> </w:t>
      </w:r>
      <w:r w:rsidRPr="00AC0219" w:rsidR="00C73964">
        <w:rPr>
          <w:sz w:val="22"/>
          <w:szCs w:val="22"/>
        </w:rPr>
        <w:t>de</w:t>
      </w:r>
      <w:r w:rsidR="00452326">
        <w:rPr>
          <w:sz w:val="22"/>
          <w:szCs w:val="22"/>
        </w:rPr>
        <w:t xml:space="preserve"> </w:t>
      </w:r>
      <w:r w:rsidRPr="00AC0219" w:rsidR="00C73964">
        <w:rPr>
          <w:sz w:val="22"/>
          <w:szCs w:val="22"/>
        </w:rPr>
        <w:t>la</w:t>
      </w:r>
      <w:r w:rsidR="00452326">
        <w:rPr>
          <w:sz w:val="22"/>
          <w:szCs w:val="22"/>
        </w:rPr>
        <w:t xml:space="preserve"> </w:t>
      </w:r>
      <w:r w:rsidRPr="00AC0219" w:rsidR="00C73964">
        <w:rPr>
          <w:sz w:val="22"/>
          <w:szCs w:val="22"/>
        </w:rPr>
        <w:t>Función</w:t>
      </w:r>
      <w:r w:rsidR="00452326">
        <w:rPr>
          <w:sz w:val="22"/>
          <w:szCs w:val="22"/>
        </w:rPr>
        <w:t xml:space="preserve"> </w:t>
      </w:r>
      <w:r w:rsidRPr="00AC0219" w:rsidR="00C73964">
        <w:rPr>
          <w:sz w:val="22"/>
          <w:szCs w:val="22"/>
        </w:rPr>
        <w:t>Pública</w:t>
      </w:r>
      <w:r w:rsidR="00452326">
        <w:rPr>
          <w:sz w:val="22"/>
          <w:szCs w:val="22"/>
        </w:rPr>
        <w:t xml:space="preserve"> </w:t>
      </w:r>
      <w:r w:rsidRPr="00AC0219" w:rsidR="00C73964">
        <w:rPr>
          <w:sz w:val="22"/>
          <w:szCs w:val="22"/>
        </w:rPr>
        <w:t>en</w:t>
      </w:r>
      <w:r w:rsidR="00452326">
        <w:rPr>
          <w:sz w:val="22"/>
          <w:szCs w:val="22"/>
        </w:rPr>
        <w:t xml:space="preserve"> </w:t>
      </w:r>
      <w:r w:rsidRPr="00AC0219" w:rsidR="00C73964">
        <w:rPr>
          <w:sz w:val="22"/>
          <w:szCs w:val="22"/>
        </w:rPr>
        <w:t>materia</w:t>
      </w:r>
      <w:r w:rsidR="00452326">
        <w:rPr>
          <w:sz w:val="22"/>
          <w:szCs w:val="22"/>
        </w:rPr>
        <w:t xml:space="preserve"> </w:t>
      </w:r>
      <w:r w:rsidRPr="00AC0219" w:rsidR="00C73964">
        <w:rPr>
          <w:sz w:val="22"/>
          <w:szCs w:val="22"/>
        </w:rPr>
        <w:t>de</w:t>
      </w:r>
      <w:r w:rsidR="00452326">
        <w:rPr>
          <w:sz w:val="22"/>
          <w:szCs w:val="22"/>
        </w:rPr>
        <w:t xml:space="preserve"> </w:t>
      </w:r>
      <w:r w:rsidRPr="00AC0219" w:rsidR="00C73964">
        <w:rPr>
          <w:sz w:val="22"/>
          <w:szCs w:val="22"/>
        </w:rPr>
        <w:t>administración</w:t>
      </w:r>
      <w:r w:rsidR="00452326">
        <w:rPr>
          <w:sz w:val="22"/>
          <w:szCs w:val="22"/>
        </w:rPr>
        <w:t xml:space="preserve"> </w:t>
      </w:r>
      <w:r w:rsidRPr="00AC0219" w:rsidR="00C73964">
        <w:rPr>
          <w:sz w:val="22"/>
          <w:szCs w:val="22"/>
        </w:rPr>
        <w:t>del</w:t>
      </w:r>
      <w:r w:rsidR="00452326">
        <w:rPr>
          <w:sz w:val="22"/>
          <w:szCs w:val="22"/>
        </w:rPr>
        <w:t xml:space="preserve"> </w:t>
      </w:r>
      <w:r w:rsidRPr="00AC0219" w:rsidR="00C73964">
        <w:rPr>
          <w:sz w:val="22"/>
          <w:szCs w:val="22"/>
        </w:rPr>
        <w:t>riesgo.</w:t>
      </w:r>
      <w:r w:rsidR="00452326">
        <w:rPr>
          <w:sz w:val="22"/>
          <w:szCs w:val="22"/>
        </w:rPr>
        <w:t xml:space="preserve"> </w:t>
      </w:r>
      <w:r w:rsidRPr="0F99EC18" w:rsidR="1A5958A1">
        <w:rPr>
          <w:sz w:val="22"/>
          <w:szCs w:val="22"/>
        </w:rPr>
        <w:t xml:space="preserve"> </w:t>
      </w:r>
    </w:p>
    <w:p w:rsidR="006C1B67" w:rsidP="00A7003C" w:rsidRDefault="1A5958A1" w14:paraId="52E00476" w14:textId="0053322E">
      <w:pPr>
        <w:jc w:val="both"/>
        <w:rPr>
          <w:rFonts w:ascii="Aptos" w:hAnsi="Aptos" w:eastAsia="Aptos" w:cs="Aptos"/>
          <w:color w:val="000000" w:themeColor="text1"/>
          <w:sz w:val="22"/>
          <w:szCs w:val="22"/>
        </w:rPr>
      </w:pPr>
      <w:r w:rsidRPr="0F99EC18">
        <w:rPr>
          <w:rFonts w:ascii="Aptos" w:hAnsi="Aptos" w:eastAsia="Aptos" w:cs="Aptos"/>
          <w:color w:val="000000" w:themeColor="text1"/>
          <w:sz w:val="22"/>
          <w:szCs w:val="22"/>
        </w:rPr>
        <w:t>No obstante, en el ámbito de la ejecución de políticas públicas, la naturaleza de los eventos que pueden materializarse y afectar el logro de los objetivos no siempre puede abordarse de manera suficiente a través de esquemas metodológicos centrados principalmente en la identificación de eventos, la estimación de probabilidades, la evaluación de impactos y el diseño de controles para su mitigación. Si bien esta perspectiva resulta útil para estandarizar procesos y fortalecer los mecanismos de control institucional, su enfoque tiende a concebir los riesgos como eventos aislados vinculados mediante relaciones causales relativamente lineales. Ello puede limitar la comprensión de las dinámicas organizacionales, políticas e institucionales más complejas que suelen emerger durante la implementación de las políticas públicas</w:t>
      </w:r>
      <w:r w:rsidR="00F83F3D">
        <w:rPr>
          <w:rFonts w:ascii="Aptos" w:hAnsi="Aptos" w:eastAsia="Aptos" w:cs="Aptos"/>
          <w:color w:val="000000" w:themeColor="text1"/>
          <w:sz w:val="22"/>
          <w:szCs w:val="22"/>
        </w:rPr>
        <w:t>.</w:t>
      </w:r>
      <w:r w:rsidR="00A66C54">
        <w:rPr>
          <w:rFonts w:ascii="Aptos" w:hAnsi="Aptos" w:eastAsia="Aptos" w:cs="Aptos"/>
          <w:color w:val="000000" w:themeColor="text1"/>
          <w:sz w:val="22"/>
          <w:szCs w:val="22"/>
        </w:rPr>
        <w:t xml:space="preserve"> </w:t>
      </w:r>
    </w:p>
    <w:p w:rsidRPr="00A66C54" w:rsidR="00341783" w:rsidP="00A7003C" w:rsidRDefault="513BC8A9" w14:paraId="420D6E55" w14:textId="07333760">
      <w:pPr>
        <w:jc w:val="both"/>
        <w:rPr>
          <w:rFonts w:ascii="Aptos" w:hAnsi="Aptos" w:eastAsia="Aptos" w:cs="Aptos"/>
          <w:color w:val="000000" w:themeColor="text1"/>
          <w:sz w:val="22"/>
          <w:szCs w:val="22"/>
        </w:rPr>
      </w:pPr>
      <w:r w:rsidRPr="325E17A9">
        <w:rPr>
          <w:sz w:val="22"/>
          <w:szCs w:val="22"/>
        </w:rPr>
        <w:t>Específicamente</w:t>
      </w:r>
      <w:r w:rsidRPr="0396A92F">
        <w:rPr>
          <w:sz w:val="22"/>
          <w:szCs w:val="22"/>
        </w:rPr>
        <w:t xml:space="preserve"> en</w:t>
      </w:r>
      <w:r w:rsidR="00452326">
        <w:rPr>
          <w:sz w:val="22"/>
          <w:szCs w:val="22"/>
        </w:rPr>
        <w:t xml:space="preserve"> </w:t>
      </w:r>
      <w:r w:rsidRPr="00AC0219" w:rsidR="00341783">
        <w:rPr>
          <w:sz w:val="22"/>
          <w:szCs w:val="22"/>
        </w:rPr>
        <w:t>la</w:t>
      </w:r>
      <w:r w:rsidR="00452326">
        <w:rPr>
          <w:sz w:val="22"/>
          <w:szCs w:val="22"/>
        </w:rPr>
        <w:t xml:space="preserve"> </w:t>
      </w:r>
      <w:r w:rsidRPr="00AC0219" w:rsidR="00341783">
        <w:rPr>
          <w:sz w:val="22"/>
          <w:szCs w:val="22"/>
        </w:rPr>
        <w:t>ejecución</w:t>
      </w:r>
      <w:r w:rsidR="00452326">
        <w:rPr>
          <w:sz w:val="22"/>
          <w:szCs w:val="22"/>
        </w:rPr>
        <w:t xml:space="preserve"> </w:t>
      </w:r>
      <w:r w:rsidRPr="00AC0219" w:rsidR="00341783">
        <w:rPr>
          <w:sz w:val="22"/>
          <w:szCs w:val="22"/>
        </w:rPr>
        <w:t>de</w:t>
      </w:r>
      <w:r w:rsidR="00452326">
        <w:rPr>
          <w:sz w:val="22"/>
          <w:szCs w:val="22"/>
        </w:rPr>
        <w:t xml:space="preserve"> </w:t>
      </w:r>
      <w:r w:rsidRPr="00AC0219" w:rsidR="00341783">
        <w:rPr>
          <w:sz w:val="22"/>
          <w:szCs w:val="22"/>
        </w:rPr>
        <w:t>políticas</w:t>
      </w:r>
      <w:r w:rsidR="00452326">
        <w:rPr>
          <w:sz w:val="22"/>
          <w:szCs w:val="22"/>
        </w:rPr>
        <w:t xml:space="preserve"> </w:t>
      </w:r>
      <w:r w:rsidRPr="00AC0219" w:rsidR="00341783">
        <w:rPr>
          <w:sz w:val="22"/>
          <w:szCs w:val="22"/>
        </w:rPr>
        <w:t>públicas,</w:t>
      </w:r>
      <w:r w:rsidR="00452326">
        <w:rPr>
          <w:sz w:val="22"/>
          <w:szCs w:val="22"/>
        </w:rPr>
        <w:t xml:space="preserve"> </w:t>
      </w:r>
      <w:r w:rsidRPr="00AC0219" w:rsidR="00341783">
        <w:rPr>
          <w:sz w:val="22"/>
          <w:szCs w:val="22"/>
        </w:rPr>
        <w:t>un</w:t>
      </w:r>
      <w:r w:rsidR="00452326">
        <w:rPr>
          <w:sz w:val="22"/>
          <w:szCs w:val="22"/>
        </w:rPr>
        <w:t xml:space="preserve"> </w:t>
      </w:r>
      <w:r w:rsidRPr="00AC0219" w:rsidR="00341783">
        <w:rPr>
          <w:sz w:val="22"/>
          <w:szCs w:val="22"/>
        </w:rPr>
        <w:t>sistema</w:t>
      </w:r>
      <w:r w:rsidR="00452326">
        <w:rPr>
          <w:sz w:val="22"/>
          <w:szCs w:val="22"/>
        </w:rPr>
        <w:t xml:space="preserve"> </w:t>
      </w:r>
      <w:r w:rsidRPr="00AC0219" w:rsidR="00341783">
        <w:rPr>
          <w:sz w:val="22"/>
          <w:szCs w:val="22"/>
        </w:rPr>
        <w:t>social</w:t>
      </w:r>
      <w:r w:rsidR="00452326">
        <w:rPr>
          <w:sz w:val="22"/>
          <w:szCs w:val="22"/>
        </w:rPr>
        <w:t xml:space="preserve"> </w:t>
      </w:r>
      <w:r w:rsidRPr="00AC0219" w:rsidR="00341783">
        <w:rPr>
          <w:sz w:val="22"/>
          <w:szCs w:val="22"/>
        </w:rPr>
        <w:t>se</w:t>
      </w:r>
      <w:r w:rsidR="00452326">
        <w:rPr>
          <w:sz w:val="22"/>
          <w:szCs w:val="22"/>
        </w:rPr>
        <w:t xml:space="preserve"> </w:t>
      </w:r>
      <w:r w:rsidRPr="00AC0219" w:rsidR="00341783">
        <w:rPr>
          <w:sz w:val="22"/>
          <w:szCs w:val="22"/>
        </w:rPr>
        <w:t>manifiesta</w:t>
      </w:r>
      <w:r w:rsidR="00452326">
        <w:rPr>
          <w:sz w:val="22"/>
          <w:szCs w:val="22"/>
        </w:rPr>
        <w:t xml:space="preserve"> </w:t>
      </w:r>
      <w:r w:rsidRPr="00AC0219" w:rsidR="00341783">
        <w:rPr>
          <w:sz w:val="22"/>
          <w:szCs w:val="22"/>
        </w:rPr>
        <w:t>como</w:t>
      </w:r>
      <w:r w:rsidR="00452326">
        <w:rPr>
          <w:sz w:val="22"/>
          <w:szCs w:val="22"/>
        </w:rPr>
        <w:t xml:space="preserve"> </w:t>
      </w:r>
      <w:r w:rsidRPr="00AC0219" w:rsidR="00341783">
        <w:rPr>
          <w:sz w:val="22"/>
          <w:szCs w:val="22"/>
        </w:rPr>
        <w:t>un</w:t>
      </w:r>
      <w:r w:rsidR="00452326">
        <w:rPr>
          <w:sz w:val="22"/>
          <w:szCs w:val="22"/>
        </w:rPr>
        <w:t xml:space="preserve"> </w:t>
      </w:r>
      <w:r w:rsidRPr="00AC0219" w:rsidR="00341783">
        <w:rPr>
          <w:sz w:val="22"/>
          <w:szCs w:val="22"/>
        </w:rPr>
        <w:t>conjunto</w:t>
      </w:r>
      <w:r w:rsidR="00452326">
        <w:rPr>
          <w:sz w:val="22"/>
          <w:szCs w:val="22"/>
        </w:rPr>
        <w:t xml:space="preserve"> </w:t>
      </w:r>
      <w:r w:rsidRPr="00AC0219" w:rsidR="00341783">
        <w:rPr>
          <w:sz w:val="22"/>
          <w:szCs w:val="22"/>
        </w:rPr>
        <w:t>de</w:t>
      </w:r>
      <w:r w:rsidR="00452326">
        <w:rPr>
          <w:sz w:val="22"/>
          <w:szCs w:val="22"/>
        </w:rPr>
        <w:t xml:space="preserve"> </w:t>
      </w:r>
      <w:r w:rsidRPr="00AC0219" w:rsidR="00341783">
        <w:rPr>
          <w:sz w:val="22"/>
          <w:szCs w:val="22"/>
        </w:rPr>
        <w:t>actores</w:t>
      </w:r>
      <w:r w:rsidR="00452326">
        <w:rPr>
          <w:sz w:val="22"/>
          <w:szCs w:val="22"/>
        </w:rPr>
        <w:t xml:space="preserve"> </w:t>
      </w:r>
      <w:r w:rsidRPr="00AC0219" w:rsidR="00341783">
        <w:rPr>
          <w:sz w:val="22"/>
          <w:szCs w:val="22"/>
        </w:rPr>
        <w:t>que</w:t>
      </w:r>
      <w:r w:rsidR="00452326">
        <w:rPr>
          <w:sz w:val="22"/>
          <w:szCs w:val="22"/>
        </w:rPr>
        <w:t xml:space="preserve"> </w:t>
      </w:r>
      <w:r w:rsidRPr="00AC0219" w:rsidR="00341783">
        <w:rPr>
          <w:sz w:val="22"/>
          <w:szCs w:val="22"/>
        </w:rPr>
        <w:t>participan</w:t>
      </w:r>
      <w:r w:rsidR="00452326">
        <w:rPr>
          <w:sz w:val="22"/>
          <w:szCs w:val="22"/>
        </w:rPr>
        <w:t xml:space="preserve"> </w:t>
      </w:r>
      <w:r w:rsidRPr="00AC0219" w:rsidR="00341783">
        <w:rPr>
          <w:sz w:val="22"/>
          <w:szCs w:val="22"/>
        </w:rPr>
        <w:t>o</w:t>
      </w:r>
      <w:r w:rsidR="00452326">
        <w:rPr>
          <w:sz w:val="22"/>
          <w:szCs w:val="22"/>
        </w:rPr>
        <w:t xml:space="preserve"> </w:t>
      </w:r>
      <w:r w:rsidRPr="00AC0219" w:rsidR="00341783">
        <w:rPr>
          <w:sz w:val="22"/>
          <w:szCs w:val="22"/>
        </w:rPr>
        <w:t>están</w:t>
      </w:r>
      <w:r w:rsidR="00452326">
        <w:rPr>
          <w:sz w:val="22"/>
          <w:szCs w:val="22"/>
        </w:rPr>
        <w:t xml:space="preserve"> </w:t>
      </w:r>
      <w:r w:rsidRPr="00AC0219" w:rsidR="00341783">
        <w:rPr>
          <w:sz w:val="22"/>
          <w:szCs w:val="22"/>
        </w:rPr>
        <w:t>involucrados</w:t>
      </w:r>
      <w:r w:rsidR="00452326">
        <w:rPr>
          <w:sz w:val="22"/>
          <w:szCs w:val="22"/>
        </w:rPr>
        <w:t xml:space="preserve"> </w:t>
      </w:r>
      <w:r w:rsidRPr="00AC0219" w:rsidR="00341783">
        <w:rPr>
          <w:sz w:val="22"/>
          <w:szCs w:val="22"/>
        </w:rPr>
        <w:t>en</w:t>
      </w:r>
      <w:r w:rsidR="00452326">
        <w:rPr>
          <w:sz w:val="22"/>
          <w:szCs w:val="22"/>
        </w:rPr>
        <w:t xml:space="preserve"> </w:t>
      </w:r>
      <w:r w:rsidRPr="00AC0219" w:rsidR="00341783">
        <w:rPr>
          <w:sz w:val="22"/>
          <w:szCs w:val="22"/>
        </w:rPr>
        <w:t>una</w:t>
      </w:r>
      <w:r w:rsidR="00452326">
        <w:rPr>
          <w:sz w:val="22"/>
          <w:szCs w:val="22"/>
        </w:rPr>
        <w:t xml:space="preserve"> </w:t>
      </w:r>
      <w:r w:rsidRPr="00AC0219" w:rsidR="00341783">
        <w:rPr>
          <w:sz w:val="22"/>
          <w:szCs w:val="22"/>
        </w:rPr>
        <w:t>situación</w:t>
      </w:r>
      <w:r w:rsidR="00452326">
        <w:rPr>
          <w:sz w:val="22"/>
          <w:szCs w:val="22"/>
        </w:rPr>
        <w:t xml:space="preserve"> </w:t>
      </w:r>
      <w:r w:rsidRPr="00AC0219" w:rsidR="00341783">
        <w:rPr>
          <w:sz w:val="22"/>
          <w:szCs w:val="22"/>
        </w:rPr>
        <w:t>problemática,</w:t>
      </w:r>
      <w:r w:rsidR="00452326">
        <w:rPr>
          <w:sz w:val="22"/>
          <w:szCs w:val="22"/>
        </w:rPr>
        <w:t xml:space="preserve"> </w:t>
      </w:r>
      <w:r w:rsidRPr="00AC0219" w:rsidR="00341783">
        <w:rPr>
          <w:sz w:val="22"/>
          <w:szCs w:val="22"/>
        </w:rPr>
        <w:t>en</w:t>
      </w:r>
      <w:r w:rsidR="00452326">
        <w:rPr>
          <w:sz w:val="22"/>
          <w:szCs w:val="22"/>
        </w:rPr>
        <w:t xml:space="preserve"> </w:t>
      </w:r>
      <w:r w:rsidRPr="00AC0219" w:rsidR="00341783">
        <w:rPr>
          <w:sz w:val="22"/>
          <w:szCs w:val="22"/>
        </w:rPr>
        <w:t>la</w:t>
      </w:r>
      <w:r w:rsidR="00452326">
        <w:rPr>
          <w:sz w:val="22"/>
          <w:szCs w:val="22"/>
        </w:rPr>
        <w:t xml:space="preserve"> </w:t>
      </w:r>
      <w:r w:rsidRPr="00AC0219" w:rsidR="00341783">
        <w:rPr>
          <w:sz w:val="22"/>
          <w:szCs w:val="22"/>
        </w:rPr>
        <w:t>cual</w:t>
      </w:r>
      <w:r w:rsidR="00452326">
        <w:rPr>
          <w:sz w:val="22"/>
          <w:szCs w:val="22"/>
        </w:rPr>
        <w:t xml:space="preserve"> </w:t>
      </w:r>
      <w:r w:rsidRPr="00AC0219" w:rsidR="00341783">
        <w:rPr>
          <w:sz w:val="22"/>
          <w:szCs w:val="22"/>
        </w:rPr>
        <w:t>cada</w:t>
      </w:r>
      <w:r w:rsidR="00452326">
        <w:rPr>
          <w:sz w:val="22"/>
          <w:szCs w:val="22"/>
        </w:rPr>
        <w:t xml:space="preserve"> </w:t>
      </w:r>
      <w:r w:rsidRPr="00AC0219" w:rsidR="00341783">
        <w:rPr>
          <w:sz w:val="22"/>
          <w:szCs w:val="22"/>
        </w:rPr>
        <w:t>actor</w:t>
      </w:r>
      <w:r w:rsidR="00452326">
        <w:rPr>
          <w:sz w:val="22"/>
          <w:szCs w:val="22"/>
        </w:rPr>
        <w:t xml:space="preserve"> </w:t>
      </w:r>
      <w:r w:rsidRPr="00AC0219" w:rsidR="00341783">
        <w:rPr>
          <w:sz w:val="22"/>
          <w:szCs w:val="22"/>
        </w:rPr>
        <w:t>cumple</w:t>
      </w:r>
      <w:r w:rsidR="00452326">
        <w:rPr>
          <w:sz w:val="22"/>
          <w:szCs w:val="22"/>
        </w:rPr>
        <w:t xml:space="preserve"> </w:t>
      </w:r>
      <w:r w:rsidRPr="00AC0219" w:rsidR="00341783">
        <w:rPr>
          <w:sz w:val="22"/>
          <w:szCs w:val="22"/>
        </w:rPr>
        <w:t>un</w:t>
      </w:r>
      <w:r w:rsidR="00452326">
        <w:rPr>
          <w:sz w:val="22"/>
          <w:szCs w:val="22"/>
        </w:rPr>
        <w:t xml:space="preserve"> </w:t>
      </w:r>
      <w:r w:rsidRPr="00AC0219" w:rsidR="00341783">
        <w:rPr>
          <w:sz w:val="22"/>
          <w:szCs w:val="22"/>
        </w:rPr>
        <w:t>rol</w:t>
      </w:r>
      <w:r w:rsidR="00452326">
        <w:rPr>
          <w:sz w:val="22"/>
          <w:szCs w:val="22"/>
        </w:rPr>
        <w:t xml:space="preserve"> </w:t>
      </w:r>
      <w:r w:rsidRPr="00AC0219" w:rsidR="00341783">
        <w:rPr>
          <w:sz w:val="22"/>
          <w:szCs w:val="22"/>
        </w:rPr>
        <w:t>específico</w:t>
      </w:r>
      <w:r w:rsidR="00452326">
        <w:rPr>
          <w:sz w:val="22"/>
          <w:szCs w:val="22"/>
        </w:rPr>
        <w:t xml:space="preserve"> </w:t>
      </w:r>
      <w:r w:rsidRPr="00AC0219" w:rsidR="00341783">
        <w:rPr>
          <w:sz w:val="22"/>
          <w:szCs w:val="22"/>
        </w:rPr>
        <w:t>y</w:t>
      </w:r>
      <w:r w:rsidR="00452326">
        <w:rPr>
          <w:sz w:val="22"/>
          <w:szCs w:val="22"/>
        </w:rPr>
        <w:t xml:space="preserve"> </w:t>
      </w:r>
      <w:r w:rsidRPr="00AC0219" w:rsidR="00341783">
        <w:rPr>
          <w:sz w:val="22"/>
          <w:szCs w:val="22"/>
        </w:rPr>
        <w:t>persigue</w:t>
      </w:r>
      <w:r w:rsidR="00452326">
        <w:rPr>
          <w:sz w:val="22"/>
          <w:szCs w:val="22"/>
        </w:rPr>
        <w:t xml:space="preserve"> </w:t>
      </w:r>
      <w:r w:rsidRPr="00AC0219" w:rsidR="00341783">
        <w:rPr>
          <w:sz w:val="22"/>
          <w:szCs w:val="22"/>
        </w:rPr>
        <w:t>intereses</w:t>
      </w:r>
      <w:r w:rsidR="00452326">
        <w:rPr>
          <w:sz w:val="22"/>
          <w:szCs w:val="22"/>
        </w:rPr>
        <w:t xml:space="preserve"> </w:t>
      </w:r>
      <w:r w:rsidRPr="00AC0219" w:rsidR="00341783">
        <w:rPr>
          <w:sz w:val="22"/>
          <w:szCs w:val="22"/>
        </w:rPr>
        <w:t>y</w:t>
      </w:r>
      <w:r w:rsidR="00452326">
        <w:rPr>
          <w:sz w:val="22"/>
          <w:szCs w:val="22"/>
        </w:rPr>
        <w:t xml:space="preserve"> </w:t>
      </w:r>
      <w:r w:rsidRPr="00AC0219" w:rsidR="00341783">
        <w:rPr>
          <w:sz w:val="22"/>
          <w:szCs w:val="22"/>
        </w:rPr>
        <w:t>metas</w:t>
      </w:r>
      <w:r w:rsidR="00452326">
        <w:rPr>
          <w:sz w:val="22"/>
          <w:szCs w:val="22"/>
        </w:rPr>
        <w:t xml:space="preserve"> </w:t>
      </w:r>
      <w:r w:rsidRPr="00AC0219" w:rsidR="00341783">
        <w:rPr>
          <w:sz w:val="22"/>
          <w:szCs w:val="22"/>
        </w:rPr>
        <w:t>distintas</w:t>
      </w:r>
      <w:r w:rsidR="00452326">
        <w:rPr>
          <w:sz w:val="22"/>
          <w:szCs w:val="22"/>
        </w:rPr>
        <w:t xml:space="preserve"> </w:t>
      </w:r>
      <w:r w:rsidRPr="00AC0219" w:rsidR="00341783">
        <w:rPr>
          <w:sz w:val="22"/>
          <w:szCs w:val="22"/>
        </w:rPr>
        <w:t>que</w:t>
      </w:r>
      <w:r w:rsidR="00452326">
        <w:rPr>
          <w:sz w:val="22"/>
          <w:szCs w:val="22"/>
        </w:rPr>
        <w:t xml:space="preserve"> </w:t>
      </w:r>
      <w:r w:rsidRPr="00AC0219" w:rsidR="00341783">
        <w:rPr>
          <w:sz w:val="22"/>
          <w:szCs w:val="22"/>
        </w:rPr>
        <w:t>orientan</w:t>
      </w:r>
      <w:r w:rsidR="00452326">
        <w:rPr>
          <w:sz w:val="22"/>
          <w:szCs w:val="22"/>
        </w:rPr>
        <w:t xml:space="preserve"> </w:t>
      </w:r>
      <w:r w:rsidRPr="00AC0219" w:rsidR="00341783">
        <w:rPr>
          <w:sz w:val="22"/>
          <w:szCs w:val="22"/>
        </w:rPr>
        <w:t>sus</w:t>
      </w:r>
      <w:r w:rsidR="00452326">
        <w:rPr>
          <w:sz w:val="22"/>
          <w:szCs w:val="22"/>
        </w:rPr>
        <w:t xml:space="preserve"> </w:t>
      </w:r>
      <w:r w:rsidRPr="00AC0219" w:rsidR="00341783">
        <w:rPr>
          <w:sz w:val="22"/>
          <w:szCs w:val="22"/>
        </w:rPr>
        <w:t>acciones</w:t>
      </w:r>
      <w:r w:rsidR="00452326">
        <w:rPr>
          <w:sz w:val="22"/>
          <w:szCs w:val="22"/>
        </w:rPr>
        <w:t xml:space="preserve"> </w:t>
      </w:r>
      <w:r w:rsidRPr="00AC0219" w:rsidR="00341783">
        <w:rPr>
          <w:sz w:val="22"/>
          <w:szCs w:val="22"/>
        </w:rPr>
        <w:t>dentro</w:t>
      </w:r>
      <w:r w:rsidR="00452326">
        <w:rPr>
          <w:sz w:val="22"/>
          <w:szCs w:val="22"/>
        </w:rPr>
        <w:t xml:space="preserve"> </w:t>
      </w:r>
      <w:r w:rsidRPr="00AC0219" w:rsidR="00341783">
        <w:rPr>
          <w:sz w:val="22"/>
          <w:szCs w:val="22"/>
        </w:rPr>
        <w:t>del</w:t>
      </w:r>
      <w:r w:rsidR="00452326">
        <w:rPr>
          <w:sz w:val="22"/>
          <w:szCs w:val="22"/>
        </w:rPr>
        <w:t xml:space="preserve"> </w:t>
      </w:r>
      <w:r w:rsidRPr="00AC0219" w:rsidR="00341783">
        <w:rPr>
          <w:sz w:val="22"/>
          <w:szCs w:val="22"/>
        </w:rPr>
        <w:t>sistema</w:t>
      </w:r>
      <w:r w:rsidR="00452326">
        <w:rPr>
          <w:sz w:val="22"/>
          <w:szCs w:val="22"/>
        </w:rPr>
        <w:t xml:space="preserve"> </w:t>
      </w:r>
      <w:r w:rsidRPr="00AC0219" w:rsidR="00341783">
        <w:rPr>
          <w:sz w:val="22"/>
          <w:szCs w:val="22"/>
        </w:rPr>
        <w:t>(Olaya</w:t>
      </w:r>
      <w:r w:rsidR="00452326">
        <w:rPr>
          <w:sz w:val="22"/>
          <w:szCs w:val="22"/>
        </w:rPr>
        <w:t xml:space="preserve"> </w:t>
      </w:r>
      <w:r w:rsidRPr="00AC0219" w:rsidR="00341783">
        <w:rPr>
          <w:sz w:val="22"/>
          <w:szCs w:val="22"/>
        </w:rPr>
        <w:t>y</w:t>
      </w:r>
      <w:r w:rsidR="00452326">
        <w:rPr>
          <w:sz w:val="22"/>
          <w:szCs w:val="22"/>
        </w:rPr>
        <w:t xml:space="preserve"> </w:t>
      </w:r>
      <w:r w:rsidRPr="00AC0219" w:rsidR="00341783">
        <w:rPr>
          <w:sz w:val="22"/>
          <w:szCs w:val="22"/>
        </w:rPr>
        <w:t>Quintero,</w:t>
      </w:r>
      <w:r w:rsidR="00452326">
        <w:rPr>
          <w:sz w:val="22"/>
          <w:szCs w:val="22"/>
        </w:rPr>
        <w:t xml:space="preserve"> </w:t>
      </w:r>
      <w:r w:rsidRPr="00AC0219" w:rsidR="00341783">
        <w:rPr>
          <w:sz w:val="22"/>
          <w:szCs w:val="22"/>
        </w:rPr>
        <w:t>2016).</w:t>
      </w:r>
      <w:r w:rsidR="00452326">
        <w:rPr>
          <w:sz w:val="22"/>
          <w:szCs w:val="22"/>
        </w:rPr>
        <w:t xml:space="preserve"> </w:t>
      </w:r>
      <w:r w:rsidRPr="00AC0219" w:rsidR="00341783">
        <w:rPr>
          <w:sz w:val="22"/>
          <w:szCs w:val="22"/>
        </w:rPr>
        <w:t>Esta</w:t>
      </w:r>
      <w:r w:rsidR="00452326">
        <w:rPr>
          <w:sz w:val="22"/>
          <w:szCs w:val="22"/>
        </w:rPr>
        <w:t xml:space="preserve"> </w:t>
      </w:r>
      <w:r w:rsidRPr="00AC0219" w:rsidR="00341783">
        <w:rPr>
          <w:sz w:val="22"/>
          <w:szCs w:val="22"/>
        </w:rPr>
        <w:t>configuración</w:t>
      </w:r>
      <w:r w:rsidR="00452326">
        <w:rPr>
          <w:sz w:val="22"/>
          <w:szCs w:val="22"/>
        </w:rPr>
        <w:t xml:space="preserve"> </w:t>
      </w:r>
      <w:r w:rsidRPr="00AC0219" w:rsidR="00341783">
        <w:rPr>
          <w:sz w:val="22"/>
          <w:szCs w:val="22"/>
        </w:rPr>
        <w:t>de</w:t>
      </w:r>
      <w:r w:rsidR="00452326">
        <w:rPr>
          <w:sz w:val="22"/>
          <w:szCs w:val="22"/>
        </w:rPr>
        <w:t xml:space="preserve"> </w:t>
      </w:r>
      <w:r w:rsidRPr="00AC0219" w:rsidR="00341783">
        <w:rPr>
          <w:sz w:val="22"/>
          <w:szCs w:val="22"/>
        </w:rPr>
        <w:t>actores</w:t>
      </w:r>
      <w:r w:rsidR="00452326">
        <w:rPr>
          <w:sz w:val="22"/>
          <w:szCs w:val="22"/>
        </w:rPr>
        <w:t xml:space="preserve"> </w:t>
      </w:r>
      <w:r w:rsidRPr="00AC0219" w:rsidR="00341783">
        <w:rPr>
          <w:sz w:val="22"/>
          <w:szCs w:val="22"/>
        </w:rPr>
        <w:t>y</w:t>
      </w:r>
      <w:r w:rsidR="00452326">
        <w:rPr>
          <w:sz w:val="22"/>
          <w:szCs w:val="22"/>
        </w:rPr>
        <w:t xml:space="preserve"> </w:t>
      </w:r>
      <w:r w:rsidRPr="00AC0219" w:rsidR="00341783">
        <w:rPr>
          <w:sz w:val="22"/>
          <w:szCs w:val="22"/>
        </w:rPr>
        <w:t>relaciones</w:t>
      </w:r>
      <w:r w:rsidR="00452326">
        <w:rPr>
          <w:sz w:val="22"/>
          <w:szCs w:val="22"/>
        </w:rPr>
        <w:t xml:space="preserve"> </w:t>
      </w:r>
      <w:r w:rsidRPr="00AC0219" w:rsidR="00341783">
        <w:rPr>
          <w:sz w:val="22"/>
          <w:szCs w:val="22"/>
        </w:rPr>
        <w:t>contribuye</w:t>
      </w:r>
      <w:r w:rsidR="00452326">
        <w:rPr>
          <w:sz w:val="22"/>
          <w:szCs w:val="22"/>
        </w:rPr>
        <w:t xml:space="preserve"> </w:t>
      </w:r>
      <w:r w:rsidRPr="00AC0219" w:rsidR="00341783">
        <w:rPr>
          <w:sz w:val="22"/>
          <w:szCs w:val="22"/>
        </w:rPr>
        <w:t>a</w:t>
      </w:r>
      <w:r w:rsidR="00452326">
        <w:rPr>
          <w:sz w:val="22"/>
          <w:szCs w:val="22"/>
        </w:rPr>
        <w:t xml:space="preserve"> </w:t>
      </w:r>
      <w:r w:rsidRPr="00AC0219" w:rsidR="00341783">
        <w:rPr>
          <w:sz w:val="22"/>
          <w:szCs w:val="22"/>
        </w:rPr>
        <w:t>explicar,</w:t>
      </w:r>
      <w:r w:rsidR="00452326">
        <w:rPr>
          <w:sz w:val="22"/>
          <w:szCs w:val="22"/>
        </w:rPr>
        <w:t xml:space="preserve"> </w:t>
      </w:r>
      <w:r w:rsidRPr="00AC0219" w:rsidR="00341783">
        <w:rPr>
          <w:sz w:val="22"/>
          <w:szCs w:val="22"/>
        </w:rPr>
        <w:t>al</w:t>
      </w:r>
      <w:r w:rsidR="00452326">
        <w:rPr>
          <w:sz w:val="22"/>
          <w:szCs w:val="22"/>
        </w:rPr>
        <w:t xml:space="preserve"> </w:t>
      </w:r>
      <w:r w:rsidRPr="00AC0219" w:rsidR="00341783">
        <w:rPr>
          <w:sz w:val="22"/>
          <w:szCs w:val="22"/>
        </w:rPr>
        <w:t>menos</w:t>
      </w:r>
      <w:r w:rsidR="00452326">
        <w:rPr>
          <w:sz w:val="22"/>
          <w:szCs w:val="22"/>
        </w:rPr>
        <w:t xml:space="preserve"> </w:t>
      </w:r>
      <w:r w:rsidRPr="00AC0219" w:rsidR="00341783">
        <w:rPr>
          <w:sz w:val="22"/>
          <w:szCs w:val="22"/>
        </w:rPr>
        <w:t>en</w:t>
      </w:r>
      <w:r w:rsidR="00452326">
        <w:rPr>
          <w:sz w:val="22"/>
          <w:szCs w:val="22"/>
        </w:rPr>
        <w:t xml:space="preserve"> </w:t>
      </w:r>
      <w:r w:rsidRPr="00AC0219" w:rsidR="00341783">
        <w:rPr>
          <w:sz w:val="22"/>
          <w:szCs w:val="22"/>
        </w:rPr>
        <w:t>parte,</w:t>
      </w:r>
      <w:r w:rsidR="00452326">
        <w:rPr>
          <w:sz w:val="22"/>
          <w:szCs w:val="22"/>
        </w:rPr>
        <w:t xml:space="preserve"> </w:t>
      </w:r>
      <w:r w:rsidRPr="00AC0219" w:rsidR="00341783">
        <w:rPr>
          <w:sz w:val="22"/>
          <w:szCs w:val="22"/>
        </w:rPr>
        <w:t>por</w:t>
      </w:r>
      <w:r w:rsidR="00452326">
        <w:rPr>
          <w:sz w:val="22"/>
          <w:szCs w:val="22"/>
        </w:rPr>
        <w:t xml:space="preserve"> </w:t>
      </w:r>
      <w:r w:rsidRPr="00AC0219" w:rsidR="00341783">
        <w:rPr>
          <w:sz w:val="22"/>
          <w:szCs w:val="22"/>
        </w:rPr>
        <w:t>qué</w:t>
      </w:r>
      <w:r w:rsidR="00452326">
        <w:rPr>
          <w:sz w:val="22"/>
          <w:szCs w:val="22"/>
        </w:rPr>
        <w:t xml:space="preserve"> </w:t>
      </w:r>
      <w:r w:rsidRPr="00AC0219" w:rsidR="00341783">
        <w:rPr>
          <w:sz w:val="22"/>
          <w:szCs w:val="22"/>
        </w:rPr>
        <w:t>la</w:t>
      </w:r>
      <w:r w:rsidR="00452326">
        <w:rPr>
          <w:sz w:val="22"/>
          <w:szCs w:val="22"/>
        </w:rPr>
        <w:t xml:space="preserve"> </w:t>
      </w:r>
      <w:r w:rsidRPr="00AC0219" w:rsidR="00341783">
        <w:rPr>
          <w:sz w:val="22"/>
          <w:szCs w:val="22"/>
        </w:rPr>
        <w:t>ejecución</w:t>
      </w:r>
      <w:r w:rsidR="00452326">
        <w:rPr>
          <w:sz w:val="22"/>
          <w:szCs w:val="22"/>
        </w:rPr>
        <w:t xml:space="preserve"> </w:t>
      </w:r>
      <w:r w:rsidRPr="00AC0219" w:rsidR="00341783">
        <w:rPr>
          <w:sz w:val="22"/>
          <w:szCs w:val="22"/>
        </w:rPr>
        <w:t>de</w:t>
      </w:r>
      <w:r w:rsidR="00452326">
        <w:rPr>
          <w:sz w:val="22"/>
          <w:szCs w:val="22"/>
        </w:rPr>
        <w:t xml:space="preserve"> </w:t>
      </w:r>
      <w:r w:rsidRPr="00AC0219" w:rsidR="00341783">
        <w:rPr>
          <w:sz w:val="22"/>
          <w:szCs w:val="22"/>
        </w:rPr>
        <w:t>las</w:t>
      </w:r>
      <w:r w:rsidR="00452326">
        <w:rPr>
          <w:sz w:val="22"/>
          <w:szCs w:val="22"/>
        </w:rPr>
        <w:t xml:space="preserve"> </w:t>
      </w:r>
      <w:r w:rsidRPr="00AC0219" w:rsidR="00341783">
        <w:rPr>
          <w:sz w:val="22"/>
          <w:szCs w:val="22"/>
        </w:rPr>
        <w:t>políticas</w:t>
      </w:r>
      <w:r w:rsidR="00452326">
        <w:rPr>
          <w:sz w:val="22"/>
          <w:szCs w:val="22"/>
        </w:rPr>
        <w:t xml:space="preserve"> </w:t>
      </w:r>
      <w:r w:rsidRPr="00AC0219" w:rsidR="00341783">
        <w:rPr>
          <w:sz w:val="22"/>
          <w:szCs w:val="22"/>
        </w:rPr>
        <w:t>públicas</w:t>
      </w:r>
      <w:r w:rsidR="00452326">
        <w:rPr>
          <w:sz w:val="22"/>
          <w:szCs w:val="22"/>
        </w:rPr>
        <w:t xml:space="preserve"> </w:t>
      </w:r>
      <w:r w:rsidRPr="00AC0219" w:rsidR="00341783">
        <w:rPr>
          <w:sz w:val="22"/>
          <w:szCs w:val="22"/>
        </w:rPr>
        <w:t>está</w:t>
      </w:r>
      <w:r w:rsidR="00452326">
        <w:rPr>
          <w:sz w:val="22"/>
          <w:szCs w:val="22"/>
        </w:rPr>
        <w:t xml:space="preserve"> </w:t>
      </w:r>
      <w:r w:rsidRPr="00AC0219" w:rsidR="00341783">
        <w:rPr>
          <w:sz w:val="22"/>
          <w:szCs w:val="22"/>
        </w:rPr>
        <w:t>expuesta</w:t>
      </w:r>
      <w:r w:rsidR="00452326">
        <w:rPr>
          <w:sz w:val="22"/>
          <w:szCs w:val="22"/>
        </w:rPr>
        <w:t xml:space="preserve"> </w:t>
      </w:r>
      <w:r w:rsidRPr="00AC0219" w:rsidR="00341783">
        <w:rPr>
          <w:sz w:val="22"/>
          <w:szCs w:val="22"/>
        </w:rPr>
        <w:t>a</w:t>
      </w:r>
      <w:r w:rsidR="00452326">
        <w:rPr>
          <w:sz w:val="22"/>
          <w:szCs w:val="22"/>
        </w:rPr>
        <w:t xml:space="preserve"> </w:t>
      </w:r>
      <w:r w:rsidRPr="00AC0219" w:rsidR="00341783">
        <w:rPr>
          <w:sz w:val="22"/>
          <w:szCs w:val="22"/>
        </w:rPr>
        <w:t>tensiones,</w:t>
      </w:r>
      <w:r w:rsidR="00452326">
        <w:rPr>
          <w:sz w:val="22"/>
          <w:szCs w:val="22"/>
        </w:rPr>
        <w:t xml:space="preserve"> </w:t>
      </w:r>
      <w:r w:rsidRPr="00AC0219" w:rsidR="00341783">
        <w:rPr>
          <w:sz w:val="22"/>
          <w:szCs w:val="22"/>
        </w:rPr>
        <w:t>resistencias</w:t>
      </w:r>
      <w:r w:rsidR="00452326">
        <w:rPr>
          <w:sz w:val="22"/>
          <w:szCs w:val="22"/>
        </w:rPr>
        <w:t xml:space="preserve"> </w:t>
      </w:r>
      <w:r w:rsidRPr="00AC0219" w:rsidR="00341783">
        <w:rPr>
          <w:sz w:val="22"/>
          <w:szCs w:val="22"/>
        </w:rPr>
        <w:t>y</w:t>
      </w:r>
      <w:r w:rsidR="00452326">
        <w:rPr>
          <w:sz w:val="22"/>
          <w:szCs w:val="22"/>
        </w:rPr>
        <w:t xml:space="preserve"> </w:t>
      </w:r>
      <w:r w:rsidRPr="00AC0219" w:rsidR="00341783">
        <w:rPr>
          <w:sz w:val="22"/>
          <w:szCs w:val="22"/>
        </w:rPr>
        <w:t>resultados</w:t>
      </w:r>
      <w:r w:rsidR="00452326">
        <w:rPr>
          <w:sz w:val="22"/>
          <w:szCs w:val="22"/>
        </w:rPr>
        <w:t xml:space="preserve"> </w:t>
      </w:r>
      <w:r w:rsidRPr="00AC0219" w:rsidR="00341783">
        <w:rPr>
          <w:sz w:val="22"/>
          <w:szCs w:val="22"/>
        </w:rPr>
        <w:t>no</w:t>
      </w:r>
      <w:r w:rsidR="00452326">
        <w:rPr>
          <w:sz w:val="22"/>
          <w:szCs w:val="22"/>
        </w:rPr>
        <w:t xml:space="preserve"> </w:t>
      </w:r>
      <w:r w:rsidRPr="00AC0219" w:rsidR="00341783">
        <w:rPr>
          <w:sz w:val="22"/>
          <w:szCs w:val="22"/>
        </w:rPr>
        <w:t>previstos</w:t>
      </w:r>
      <w:r w:rsidR="00452326">
        <w:rPr>
          <w:sz w:val="22"/>
          <w:szCs w:val="22"/>
        </w:rPr>
        <w:t xml:space="preserve"> </w:t>
      </w:r>
      <w:r w:rsidRPr="00AC0219" w:rsidR="00341783">
        <w:rPr>
          <w:sz w:val="22"/>
          <w:szCs w:val="22"/>
        </w:rPr>
        <w:t>(Rodríguez,</w:t>
      </w:r>
      <w:r w:rsidR="00452326">
        <w:rPr>
          <w:sz w:val="22"/>
          <w:szCs w:val="22"/>
        </w:rPr>
        <w:t xml:space="preserve"> </w:t>
      </w:r>
      <w:r w:rsidRPr="00AC0219" w:rsidR="00341783">
        <w:rPr>
          <w:sz w:val="22"/>
          <w:szCs w:val="22"/>
        </w:rPr>
        <w:t>2026).</w:t>
      </w:r>
    </w:p>
    <w:p w:rsidRPr="00AC0219" w:rsidR="00597A27" w:rsidP="00597A27" w:rsidRDefault="00597A27" w14:paraId="37E76251" w14:textId="7B808983">
      <w:pPr>
        <w:jc w:val="both"/>
        <w:rPr>
          <w:sz w:val="22"/>
          <w:szCs w:val="22"/>
        </w:rPr>
      </w:pPr>
      <w:r w:rsidRPr="00AC0219">
        <w:rPr>
          <w:sz w:val="22"/>
          <w:szCs w:val="22"/>
        </w:rPr>
        <w:t>Así</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cosas,</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análisis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riesgo</w:t>
      </w:r>
      <w:r w:rsidR="00452326">
        <w:rPr>
          <w:sz w:val="22"/>
          <w:szCs w:val="22"/>
        </w:rPr>
        <w:t xml:space="preserve"> </w:t>
      </w:r>
      <w:r w:rsidRPr="00AC0219">
        <w:rPr>
          <w:sz w:val="22"/>
          <w:szCs w:val="22"/>
        </w:rPr>
        <w:t>organizacional</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contexto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política</w:t>
      </w:r>
      <w:r w:rsidR="00452326">
        <w:rPr>
          <w:sz w:val="22"/>
          <w:szCs w:val="22"/>
        </w:rPr>
        <w:t xml:space="preserve"> </w:t>
      </w:r>
      <w:r w:rsidRPr="00AC0219">
        <w:rPr>
          <w:sz w:val="22"/>
          <w:szCs w:val="22"/>
        </w:rPr>
        <w:t>pública</w:t>
      </w:r>
      <w:r w:rsidR="00452326">
        <w:rPr>
          <w:sz w:val="22"/>
          <w:szCs w:val="22"/>
        </w:rPr>
        <w:t xml:space="preserve"> </w:t>
      </w:r>
      <w:r w:rsidRPr="00AC0219">
        <w:rPr>
          <w:sz w:val="22"/>
          <w:szCs w:val="22"/>
        </w:rPr>
        <w:t>no</w:t>
      </w:r>
      <w:r w:rsidR="00452326">
        <w:rPr>
          <w:sz w:val="22"/>
          <w:szCs w:val="22"/>
        </w:rPr>
        <w:t xml:space="preserve"> </w:t>
      </w:r>
      <w:r w:rsidRPr="00AC0219">
        <w:rPr>
          <w:sz w:val="22"/>
          <w:szCs w:val="22"/>
        </w:rPr>
        <w:t>se</w:t>
      </w:r>
      <w:r w:rsidR="00452326">
        <w:rPr>
          <w:sz w:val="22"/>
          <w:szCs w:val="22"/>
        </w:rPr>
        <w:t xml:space="preserve"> </w:t>
      </w:r>
      <w:r w:rsidRPr="00AC0219">
        <w:rPr>
          <w:sz w:val="22"/>
          <w:szCs w:val="22"/>
        </w:rPr>
        <w:t>puede</w:t>
      </w:r>
      <w:r w:rsidR="00452326">
        <w:rPr>
          <w:sz w:val="22"/>
          <w:szCs w:val="22"/>
        </w:rPr>
        <w:t xml:space="preserve"> </w:t>
      </w:r>
      <w:r w:rsidRPr="00AC0219">
        <w:rPr>
          <w:sz w:val="22"/>
          <w:szCs w:val="22"/>
        </w:rPr>
        <w:t>abordar</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forma</w:t>
      </w:r>
      <w:r w:rsidR="00452326">
        <w:rPr>
          <w:sz w:val="22"/>
          <w:szCs w:val="22"/>
        </w:rPr>
        <w:t xml:space="preserve"> </w:t>
      </w:r>
      <w:r w:rsidRPr="00AC0219">
        <w:rPr>
          <w:sz w:val="22"/>
          <w:szCs w:val="22"/>
        </w:rPr>
        <w:t>lineal</w:t>
      </w:r>
      <w:r w:rsidR="00452326">
        <w:rPr>
          <w:sz w:val="22"/>
          <w:szCs w:val="22"/>
        </w:rPr>
        <w:t xml:space="preserve"> </w:t>
      </w:r>
      <w:r w:rsidRPr="00AC0219">
        <w:rPr>
          <w:sz w:val="22"/>
          <w:szCs w:val="22"/>
        </w:rPr>
        <w:t>bajo</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esquema</w:t>
      </w:r>
      <w:r w:rsidR="00452326">
        <w:rPr>
          <w:sz w:val="22"/>
          <w:szCs w:val="22"/>
        </w:rPr>
        <w:t xml:space="preserve"> </w:t>
      </w:r>
      <w:r w:rsidRPr="00AC0219">
        <w:rPr>
          <w:sz w:val="22"/>
          <w:szCs w:val="22"/>
        </w:rPr>
        <w:t>causa-efecto,</w:t>
      </w:r>
      <w:r w:rsidR="00452326">
        <w:rPr>
          <w:sz w:val="22"/>
          <w:szCs w:val="22"/>
        </w:rPr>
        <w:t xml:space="preserve"> </w:t>
      </w:r>
      <w:r w:rsidRPr="00AC0219">
        <w:rPr>
          <w:sz w:val="22"/>
          <w:szCs w:val="22"/>
        </w:rPr>
        <w:t>dado</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impacta</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sistema</w:t>
      </w:r>
      <w:r w:rsidR="00452326">
        <w:rPr>
          <w:sz w:val="22"/>
          <w:szCs w:val="22"/>
        </w:rPr>
        <w:t xml:space="preserve"> </w:t>
      </w:r>
      <w:r w:rsidRPr="00AC0219">
        <w:rPr>
          <w:sz w:val="22"/>
          <w:szCs w:val="22"/>
        </w:rPr>
        <w:t>social.</w:t>
      </w:r>
      <w:r w:rsidR="00452326">
        <w:rPr>
          <w:sz w:val="22"/>
          <w:szCs w:val="22"/>
        </w:rPr>
        <w:t xml:space="preserve"> </w:t>
      </w:r>
      <w:r w:rsidRPr="00AC0219">
        <w:rPr>
          <w:sz w:val="22"/>
          <w:szCs w:val="22"/>
        </w:rPr>
        <w:t>Esta</w:t>
      </w:r>
      <w:r w:rsidR="00452326">
        <w:rPr>
          <w:sz w:val="22"/>
          <w:szCs w:val="22"/>
        </w:rPr>
        <w:t xml:space="preserve"> </w:t>
      </w:r>
      <w:r w:rsidRPr="00AC0219">
        <w:rPr>
          <w:sz w:val="22"/>
          <w:szCs w:val="22"/>
        </w:rPr>
        <w:t>noción</w:t>
      </w:r>
      <w:r w:rsidR="00452326">
        <w:rPr>
          <w:sz w:val="22"/>
          <w:szCs w:val="22"/>
        </w:rPr>
        <w:t xml:space="preserve"> </w:t>
      </w:r>
      <w:r w:rsidRPr="00AC0219">
        <w:rPr>
          <w:sz w:val="22"/>
          <w:szCs w:val="22"/>
        </w:rPr>
        <w:t>modifica</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rigurosidad</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sistemas</w:t>
      </w:r>
      <w:r w:rsidR="00452326">
        <w:rPr>
          <w:sz w:val="22"/>
          <w:szCs w:val="22"/>
        </w:rPr>
        <w:t xml:space="preserve"> </w:t>
      </w:r>
      <w:r w:rsidRPr="00AC0219">
        <w:rPr>
          <w:sz w:val="22"/>
          <w:szCs w:val="22"/>
        </w:rPr>
        <w:t>tradicionales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gestión</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riesgos</w:t>
      </w:r>
      <w:r w:rsidR="00452326">
        <w:rPr>
          <w:sz w:val="22"/>
          <w:szCs w:val="22"/>
        </w:rPr>
        <w:t xml:space="preserve"> </w:t>
      </w:r>
      <w:r w:rsidRPr="00AC0219">
        <w:rPr>
          <w:sz w:val="22"/>
          <w:szCs w:val="22"/>
        </w:rPr>
        <w:t>porque</w:t>
      </w:r>
      <w:r w:rsidR="00452326">
        <w:rPr>
          <w:sz w:val="22"/>
          <w:szCs w:val="22"/>
        </w:rPr>
        <w:t xml:space="preserve"> </w:t>
      </w:r>
      <w:r w:rsidRPr="00AC0219">
        <w:rPr>
          <w:sz w:val="22"/>
          <w:szCs w:val="22"/>
        </w:rPr>
        <w:t>desplaza</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foco</w:t>
      </w:r>
      <w:r w:rsidR="00452326">
        <w:rPr>
          <w:sz w:val="22"/>
          <w:szCs w:val="22"/>
        </w:rPr>
        <w:t xml:space="preserve"> </w:t>
      </w:r>
      <w:r w:rsidRPr="00AC0219">
        <w:rPr>
          <w:sz w:val="22"/>
          <w:szCs w:val="22"/>
        </w:rPr>
        <w:t>del</w:t>
      </w:r>
      <w:r w:rsidR="00452326">
        <w:rPr>
          <w:sz w:val="22"/>
          <w:szCs w:val="22"/>
        </w:rPr>
        <w:t xml:space="preserve"> </w:t>
      </w:r>
      <w:r w:rsidRPr="00AC0219">
        <w:rPr>
          <w:sz w:val="22"/>
          <w:szCs w:val="22"/>
        </w:rPr>
        <w:t>riesgo</w:t>
      </w:r>
      <w:r w:rsidR="00452326">
        <w:rPr>
          <w:sz w:val="22"/>
          <w:szCs w:val="22"/>
        </w:rPr>
        <w:t xml:space="preserve"> </w:t>
      </w:r>
      <w:r w:rsidRPr="00AC0219">
        <w:rPr>
          <w:sz w:val="22"/>
          <w:szCs w:val="22"/>
        </w:rPr>
        <w:t>desde</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eventos</w:t>
      </w:r>
      <w:r w:rsidR="00452326">
        <w:rPr>
          <w:sz w:val="22"/>
          <w:szCs w:val="22"/>
        </w:rPr>
        <w:t xml:space="preserve"> </w:t>
      </w:r>
      <w:r w:rsidRPr="00AC0219">
        <w:rPr>
          <w:sz w:val="22"/>
          <w:szCs w:val="22"/>
        </w:rPr>
        <w:t>hacia</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dinámicas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lo</w:t>
      </w:r>
      <w:r w:rsidR="00452326">
        <w:rPr>
          <w:sz w:val="22"/>
          <w:szCs w:val="22"/>
        </w:rPr>
        <w:t xml:space="preserve"> </w:t>
      </w:r>
      <w:r w:rsidRPr="00AC0219">
        <w:rPr>
          <w:sz w:val="22"/>
          <w:szCs w:val="22"/>
        </w:rPr>
        <w:t>concibe</w:t>
      </w:r>
      <w:r w:rsidR="00452326">
        <w:rPr>
          <w:sz w:val="22"/>
          <w:szCs w:val="22"/>
        </w:rPr>
        <w:t xml:space="preserve"> </w:t>
      </w:r>
      <w:r w:rsidRPr="00AC0219">
        <w:rPr>
          <w:sz w:val="22"/>
          <w:szCs w:val="22"/>
        </w:rPr>
        <w:t>como</w:t>
      </w:r>
      <w:r w:rsidR="00452326">
        <w:rPr>
          <w:sz w:val="22"/>
          <w:szCs w:val="22"/>
        </w:rPr>
        <w:t xml:space="preserve"> </w:t>
      </w:r>
      <w:r w:rsidRPr="00AC0219">
        <w:rPr>
          <w:sz w:val="22"/>
          <w:szCs w:val="22"/>
        </w:rPr>
        <w:t>una</w:t>
      </w:r>
      <w:r w:rsidR="00452326">
        <w:rPr>
          <w:sz w:val="22"/>
          <w:szCs w:val="22"/>
        </w:rPr>
        <w:t xml:space="preserve"> </w:t>
      </w:r>
      <w:r w:rsidRPr="00AC0219">
        <w:rPr>
          <w:sz w:val="22"/>
          <w:szCs w:val="22"/>
        </w:rPr>
        <w:t>expresión</w:t>
      </w:r>
      <w:r w:rsidR="00452326">
        <w:rPr>
          <w:sz w:val="22"/>
          <w:szCs w:val="22"/>
        </w:rPr>
        <w:t xml:space="preserve"> </w:t>
      </w:r>
      <w:r w:rsidRPr="00AC0219">
        <w:rPr>
          <w:sz w:val="22"/>
          <w:szCs w:val="22"/>
        </w:rPr>
        <w:t>emergente</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interacciones</w:t>
      </w:r>
      <w:r w:rsidR="00452326">
        <w:rPr>
          <w:sz w:val="22"/>
          <w:szCs w:val="22"/>
        </w:rPr>
        <w:t xml:space="preserve"> </w:t>
      </w:r>
      <w:r w:rsidRPr="00AC0219">
        <w:rPr>
          <w:sz w:val="22"/>
          <w:szCs w:val="22"/>
        </w:rPr>
        <w:t>estructurales,</w:t>
      </w:r>
      <w:r w:rsidR="00452326">
        <w:rPr>
          <w:sz w:val="22"/>
          <w:szCs w:val="22"/>
        </w:rPr>
        <w:t xml:space="preserve"> </w:t>
      </w:r>
      <w:r w:rsidRPr="00AC0219">
        <w:rPr>
          <w:sz w:val="22"/>
          <w:szCs w:val="22"/>
        </w:rPr>
        <w:t>decisiones,</w:t>
      </w:r>
      <w:r w:rsidR="00452326">
        <w:rPr>
          <w:sz w:val="22"/>
          <w:szCs w:val="22"/>
        </w:rPr>
        <w:t xml:space="preserve"> </w:t>
      </w:r>
      <w:r w:rsidRPr="00AC0219">
        <w:rPr>
          <w:sz w:val="22"/>
          <w:szCs w:val="22"/>
        </w:rPr>
        <w:t>patrones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comportamiento</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procesos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retroalimentación</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sostienen</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reproducen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sistema</w:t>
      </w:r>
      <w:r w:rsidR="00452326">
        <w:rPr>
          <w:sz w:val="22"/>
          <w:szCs w:val="22"/>
        </w:rPr>
        <w:t xml:space="preserve"> </w:t>
      </w:r>
      <w:r w:rsidRPr="00AC0219">
        <w:rPr>
          <w:sz w:val="22"/>
          <w:szCs w:val="22"/>
        </w:rPr>
        <w:t>organizacional</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tiempo.</w:t>
      </w:r>
    </w:p>
    <w:p w:rsidR="003245D4" w:rsidP="003A494D" w:rsidRDefault="003A494D" w14:paraId="63BCB751" w14:textId="77777777">
      <w:pPr>
        <w:jc w:val="both"/>
        <w:rPr>
          <w:sz w:val="22"/>
          <w:szCs w:val="22"/>
        </w:rPr>
      </w:pPr>
      <w:r w:rsidRPr="00AC0219">
        <w:rPr>
          <w:sz w:val="22"/>
          <w:szCs w:val="22"/>
        </w:rPr>
        <w:t>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contexto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políticas</w:t>
      </w:r>
      <w:r w:rsidR="00452326">
        <w:rPr>
          <w:sz w:val="22"/>
          <w:szCs w:val="22"/>
        </w:rPr>
        <w:t xml:space="preserve"> </w:t>
      </w:r>
      <w:r w:rsidRPr="00AC0219">
        <w:rPr>
          <w:sz w:val="22"/>
          <w:szCs w:val="22"/>
        </w:rPr>
        <w:t>públicas,</w:t>
      </w:r>
      <w:r w:rsidR="00452326">
        <w:rPr>
          <w:sz w:val="22"/>
          <w:szCs w:val="22"/>
        </w:rPr>
        <w:t xml:space="preserve"> </w:t>
      </w:r>
      <w:r w:rsidRPr="00AC0219">
        <w:rPr>
          <w:sz w:val="22"/>
          <w:szCs w:val="22"/>
        </w:rPr>
        <w:t>resulta</w:t>
      </w:r>
      <w:r w:rsidR="00452326">
        <w:rPr>
          <w:sz w:val="22"/>
          <w:szCs w:val="22"/>
        </w:rPr>
        <w:t xml:space="preserve"> </w:t>
      </w:r>
      <w:r w:rsidRPr="00AC0219">
        <w:rPr>
          <w:sz w:val="22"/>
          <w:szCs w:val="22"/>
        </w:rPr>
        <w:t>metodológicamente</w:t>
      </w:r>
      <w:r w:rsidR="00452326">
        <w:rPr>
          <w:sz w:val="22"/>
          <w:szCs w:val="22"/>
        </w:rPr>
        <w:t xml:space="preserve"> </w:t>
      </w:r>
      <w:r w:rsidRPr="00AC0219">
        <w:rPr>
          <w:sz w:val="22"/>
          <w:szCs w:val="22"/>
        </w:rPr>
        <w:t>pertinente</w:t>
      </w:r>
      <w:r w:rsidR="00452326">
        <w:rPr>
          <w:sz w:val="22"/>
          <w:szCs w:val="22"/>
        </w:rPr>
        <w:t xml:space="preserve"> </w:t>
      </w:r>
      <w:r w:rsidRPr="00AC0219">
        <w:rPr>
          <w:sz w:val="22"/>
          <w:szCs w:val="22"/>
        </w:rPr>
        <w:t>desarrollar</w:t>
      </w:r>
      <w:r w:rsidR="00452326">
        <w:rPr>
          <w:sz w:val="22"/>
          <w:szCs w:val="22"/>
        </w:rPr>
        <w:t xml:space="preserve"> </w:t>
      </w:r>
      <w:r w:rsidRPr="00AC0219">
        <w:rPr>
          <w:sz w:val="22"/>
          <w:szCs w:val="22"/>
        </w:rPr>
        <w:t>una</w:t>
      </w:r>
      <w:r w:rsidR="00452326">
        <w:rPr>
          <w:sz w:val="22"/>
          <w:szCs w:val="22"/>
        </w:rPr>
        <w:t xml:space="preserve"> </w:t>
      </w:r>
      <w:r w:rsidRPr="00AC0219">
        <w:rPr>
          <w:sz w:val="22"/>
          <w:szCs w:val="22"/>
        </w:rPr>
        <w:t>revisión</w:t>
      </w:r>
      <w:r w:rsidR="00452326">
        <w:rPr>
          <w:sz w:val="22"/>
          <w:szCs w:val="22"/>
        </w:rPr>
        <w:t xml:space="preserve"> </w:t>
      </w:r>
      <w:r w:rsidRPr="00AC0219">
        <w:rPr>
          <w:sz w:val="22"/>
          <w:szCs w:val="22"/>
        </w:rPr>
        <w:t>bibliográfica</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análisis</w:t>
      </w:r>
      <w:r w:rsidR="00452326">
        <w:rPr>
          <w:sz w:val="22"/>
          <w:szCs w:val="22"/>
        </w:rPr>
        <w:t xml:space="preserve"> </w:t>
      </w:r>
      <w:r w:rsidRPr="00AC0219">
        <w:rPr>
          <w:sz w:val="22"/>
          <w:szCs w:val="22"/>
        </w:rPr>
        <w:t>documental</w:t>
      </w:r>
      <w:r w:rsidR="00452326">
        <w:rPr>
          <w:sz w:val="22"/>
          <w:szCs w:val="22"/>
        </w:rPr>
        <w:t xml:space="preserve"> </w:t>
      </w:r>
      <w:r w:rsidRPr="00AC0219">
        <w:rPr>
          <w:sz w:val="22"/>
          <w:szCs w:val="22"/>
        </w:rPr>
        <w:t>orientados</w:t>
      </w:r>
      <w:r w:rsidR="00452326">
        <w:rPr>
          <w:sz w:val="22"/>
          <w:szCs w:val="22"/>
        </w:rPr>
        <w:t xml:space="preserve"> </w:t>
      </w:r>
      <w:r w:rsidRPr="00AC0219">
        <w:rPr>
          <w:sz w:val="22"/>
          <w:szCs w:val="22"/>
        </w:rPr>
        <w:t>a</w:t>
      </w:r>
      <w:r w:rsidR="00452326">
        <w:rPr>
          <w:sz w:val="22"/>
          <w:szCs w:val="22"/>
        </w:rPr>
        <w:t xml:space="preserve"> </w:t>
      </w:r>
      <w:r w:rsidRPr="00AC0219">
        <w:rPr>
          <w:sz w:val="22"/>
          <w:szCs w:val="22"/>
        </w:rPr>
        <w:t>identificar</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factores</w:t>
      </w:r>
      <w:r w:rsidR="00452326">
        <w:rPr>
          <w:sz w:val="22"/>
          <w:szCs w:val="22"/>
        </w:rPr>
        <w:t xml:space="preserve"> </w:t>
      </w:r>
      <w:r w:rsidRPr="00AC0219">
        <w:rPr>
          <w:sz w:val="22"/>
          <w:szCs w:val="22"/>
        </w:rPr>
        <w:t>críticos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inciden</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gestión</w:t>
      </w:r>
      <w:r w:rsidR="00452326">
        <w:rPr>
          <w:sz w:val="22"/>
          <w:szCs w:val="22"/>
        </w:rPr>
        <w:t xml:space="preserve"> </w:t>
      </w:r>
      <w:r w:rsidRPr="00AC0219">
        <w:rPr>
          <w:sz w:val="22"/>
          <w:szCs w:val="22"/>
        </w:rPr>
        <w:t>del</w:t>
      </w:r>
      <w:r w:rsidR="00452326">
        <w:rPr>
          <w:sz w:val="22"/>
          <w:szCs w:val="22"/>
        </w:rPr>
        <w:t xml:space="preserve"> </w:t>
      </w:r>
      <w:r w:rsidRPr="00AC0219">
        <w:rPr>
          <w:sz w:val="22"/>
          <w:szCs w:val="22"/>
        </w:rPr>
        <w:t>riesgo</w:t>
      </w:r>
      <w:r w:rsidR="00452326">
        <w:rPr>
          <w:sz w:val="22"/>
          <w:szCs w:val="22"/>
        </w:rPr>
        <w:t xml:space="preserve"> </w:t>
      </w:r>
      <w:r w:rsidRPr="00AC0219">
        <w:rPr>
          <w:sz w:val="22"/>
          <w:szCs w:val="22"/>
        </w:rPr>
        <w:t>organizacional,</w:t>
      </w:r>
      <w:r w:rsidR="00452326">
        <w:rPr>
          <w:sz w:val="22"/>
          <w:szCs w:val="22"/>
        </w:rPr>
        <w:t xml:space="preserve"> </w:t>
      </w:r>
      <w:r w:rsidRPr="00AC0219">
        <w:rPr>
          <w:sz w:val="22"/>
          <w:szCs w:val="22"/>
        </w:rPr>
        <w:t>tomando</w:t>
      </w:r>
      <w:r w:rsidR="00452326">
        <w:rPr>
          <w:sz w:val="22"/>
          <w:szCs w:val="22"/>
        </w:rPr>
        <w:t xml:space="preserve"> </w:t>
      </w:r>
      <w:r w:rsidRPr="00AC0219">
        <w:rPr>
          <w:sz w:val="22"/>
          <w:szCs w:val="22"/>
        </w:rPr>
        <w:t>como</w:t>
      </w:r>
      <w:r w:rsidR="00452326">
        <w:rPr>
          <w:sz w:val="22"/>
          <w:szCs w:val="22"/>
        </w:rPr>
        <w:t xml:space="preserve"> </w:t>
      </w:r>
      <w:r w:rsidRPr="00AC0219">
        <w:rPr>
          <w:sz w:val="22"/>
          <w:szCs w:val="22"/>
        </w:rPr>
        <w:t>referencia</w:t>
      </w:r>
      <w:r w:rsidR="00452326">
        <w:rPr>
          <w:sz w:val="22"/>
          <w:szCs w:val="22"/>
        </w:rPr>
        <w:t xml:space="preserve"> </w:t>
      </w:r>
      <w:r w:rsidRPr="00AC0219">
        <w:rPr>
          <w:sz w:val="22"/>
          <w:szCs w:val="22"/>
        </w:rPr>
        <w:t>estudios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caso</w:t>
      </w:r>
      <w:r w:rsidR="00452326">
        <w:rPr>
          <w:sz w:val="22"/>
          <w:szCs w:val="22"/>
        </w:rPr>
        <w:t xml:space="preserve"> </w:t>
      </w:r>
      <w:r w:rsidRPr="00AC0219">
        <w:rPr>
          <w:sz w:val="22"/>
          <w:szCs w:val="22"/>
        </w:rPr>
        <w:t>del</w:t>
      </w:r>
      <w:r w:rsidR="00452326">
        <w:rPr>
          <w:sz w:val="22"/>
          <w:szCs w:val="22"/>
        </w:rPr>
        <w:t xml:space="preserve"> </w:t>
      </w:r>
    </w:p>
    <w:p w:rsidR="003245D4" w:rsidP="003A494D" w:rsidRDefault="003245D4" w14:paraId="565E1F16" w14:textId="77777777">
      <w:pPr>
        <w:jc w:val="both"/>
        <w:rPr>
          <w:sz w:val="22"/>
          <w:szCs w:val="22"/>
        </w:rPr>
      </w:pPr>
    </w:p>
    <w:p w:rsidRPr="00AC0219" w:rsidR="003A494D" w:rsidP="003A494D" w:rsidRDefault="003A494D" w14:paraId="49A3EC79" w14:textId="59D18813">
      <w:pPr>
        <w:jc w:val="both"/>
        <w:rPr>
          <w:sz w:val="22"/>
          <w:szCs w:val="22"/>
        </w:rPr>
      </w:pPr>
      <w:r w:rsidRPr="00AC0219">
        <w:rPr>
          <w:sz w:val="22"/>
          <w:szCs w:val="22"/>
        </w:rPr>
        <w:t>ámbito</w:t>
      </w:r>
      <w:r w:rsidR="00452326">
        <w:rPr>
          <w:sz w:val="22"/>
          <w:szCs w:val="22"/>
        </w:rPr>
        <w:t xml:space="preserve"> </w:t>
      </w:r>
      <w:r w:rsidRPr="00AC0219">
        <w:rPr>
          <w:sz w:val="22"/>
          <w:szCs w:val="22"/>
        </w:rPr>
        <w:t>internacional.</w:t>
      </w:r>
      <w:r w:rsidR="00452326">
        <w:rPr>
          <w:sz w:val="22"/>
          <w:szCs w:val="22"/>
        </w:rPr>
        <w:t xml:space="preserve"> </w:t>
      </w:r>
      <w:r w:rsidRPr="00AC0219">
        <w:rPr>
          <w:sz w:val="22"/>
          <w:szCs w:val="22"/>
        </w:rPr>
        <w:t>Este</w:t>
      </w:r>
      <w:r w:rsidR="00452326">
        <w:rPr>
          <w:sz w:val="22"/>
          <w:szCs w:val="22"/>
        </w:rPr>
        <w:t xml:space="preserve"> </w:t>
      </w:r>
      <w:r w:rsidRPr="00AC0219">
        <w:rPr>
          <w:sz w:val="22"/>
          <w:szCs w:val="22"/>
        </w:rPr>
        <w:t>ejercicio</w:t>
      </w:r>
      <w:r w:rsidR="00452326">
        <w:rPr>
          <w:sz w:val="22"/>
          <w:szCs w:val="22"/>
        </w:rPr>
        <w:t xml:space="preserve"> </w:t>
      </w:r>
      <w:r w:rsidRPr="00AC0219">
        <w:rPr>
          <w:sz w:val="22"/>
          <w:szCs w:val="22"/>
        </w:rPr>
        <w:t>permite</w:t>
      </w:r>
      <w:r w:rsidR="00452326">
        <w:rPr>
          <w:sz w:val="22"/>
          <w:szCs w:val="22"/>
        </w:rPr>
        <w:t xml:space="preserve"> </w:t>
      </w:r>
      <w:r w:rsidRPr="00AC0219">
        <w:rPr>
          <w:sz w:val="22"/>
          <w:szCs w:val="22"/>
        </w:rPr>
        <w:t>sistematizar</w:t>
      </w:r>
      <w:r w:rsidR="00452326">
        <w:rPr>
          <w:sz w:val="22"/>
          <w:szCs w:val="22"/>
        </w:rPr>
        <w:t xml:space="preserve"> </w:t>
      </w:r>
      <w:r w:rsidRPr="00AC0219">
        <w:rPr>
          <w:sz w:val="22"/>
          <w:szCs w:val="22"/>
        </w:rPr>
        <w:t>lecciones</w:t>
      </w:r>
      <w:r w:rsidR="00452326">
        <w:rPr>
          <w:sz w:val="22"/>
          <w:szCs w:val="22"/>
        </w:rPr>
        <w:t xml:space="preserve"> </w:t>
      </w:r>
      <w:r w:rsidRPr="00AC0219">
        <w:rPr>
          <w:sz w:val="22"/>
          <w:szCs w:val="22"/>
        </w:rPr>
        <w:t>aprendidas,</w:t>
      </w:r>
      <w:r w:rsidR="00452326">
        <w:rPr>
          <w:sz w:val="22"/>
          <w:szCs w:val="22"/>
        </w:rPr>
        <w:t xml:space="preserve"> </w:t>
      </w:r>
      <w:r w:rsidRPr="00AC0219">
        <w:rPr>
          <w:sz w:val="22"/>
          <w:szCs w:val="22"/>
        </w:rPr>
        <w:t>contrastar</w:t>
      </w:r>
      <w:r w:rsidR="00452326">
        <w:rPr>
          <w:sz w:val="22"/>
          <w:szCs w:val="22"/>
        </w:rPr>
        <w:t xml:space="preserve"> </w:t>
      </w:r>
      <w:r w:rsidRPr="00AC0219">
        <w:rPr>
          <w:sz w:val="22"/>
          <w:szCs w:val="22"/>
        </w:rPr>
        <w:t>enfoques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reconocer</w:t>
      </w:r>
      <w:r w:rsidR="00452326">
        <w:rPr>
          <w:sz w:val="22"/>
          <w:szCs w:val="22"/>
        </w:rPr>
        <w:t xml:space="preserve"> </w:t>
      </w:r>
      <w:r w:rsidRPr="00AC0219">
        <w:rPr>
          <w:sz w:val="22"/>
          <w:szCs w:val="22"/>
        </w:rPr>
        <w:t>patrones</w:t>
      </w:r>
      <w:r w:rsidR="00452326">
        <w:rPr>
          <w:sz w:val="22"/>
          <w:szCs w:val="22"/>
        </w:rPr>
        <w:t xml:space="preserve"> </w:t>
      </w:r>
      <w:r w:rsidRPr="00AC0219">
        <w:rPr>
          <w:sz w:val="22"/>
          <w:szCs w:val="22"/>
        </w:rPr>
        <w:t>estructurales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influyen</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capacidad</w:t>
      </w:r>
      <w:r w:rsidR="00452326">
        <w:rPr>
          <w:sz w:val="22"/>
          <w:szCs w:val="22"/>
        </w:rPr>
        <w:t xml:space="preserve"> </w:t>
      </w:r>
      <w:r w:rsidRPr="00AC0219">
        <w:rPr>
          <w:sz w:val="22"/>
          <w:szCs w:val="22"/>
        </w:rPr>
        <w:t>institucional</w:t>
      </w:r>
      <w:r w:rsidR="00452326">
        <w:rPr>
          <w:sz w:val="22"/>
          <w:szCs w:val="22"/>
        </w:rPr>
        <w:t xml:space="preserve"> </w:t>
      </w:r>
      <w:r w:rsidRPr="00AC0219">
        <w:rPr>
          <w:sz w:val="22"/>
          <w:szCs w:val="22"/>
        </w:rPr>
        <w:t>para</w:t>
      </w:r>
      <w:r w:rsidR="00452326">
        <w:rPr>
          <w:sz w:val="22"/>
          <w:szCs w:val="22"/>
        </w:rPr>
        <w:t xml:space="preserve"> </w:t>
      </w:r>
      <w:r w:rsidRPr="00AC0219">
        <w:rPr>
          <w:sz w:val="22"/>
          <w:szCs w:val="22"/>
        </w:rPr>
        <w:t>gestionar</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incertidumbre</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entornos</w:t>
      </w:r>
      <w:r w:rsidR="00452326">
        <w:rPr>
          <w:sz w:val="22"/>
          <w:szCs w:val="22"/>
        </w:rPr>
        <w:t xml:space="preserve"> </w:t>
      </w:r>
      <w:r w:rsidRPr="00AC0219">
        <w:rPr>
          <w:sz w:val="22"/>
          <w:szCs w:val="22"/>
        </w:rPr>
        <w:t>complejos.</w:t>
      </w:r>
    </w:p>
    <w:p w:rsidR="007436F3" w:rsidP="007436F3" w:rsidRDefault="003A494D" w14:paraId="180ACCBD" w14:textId="7D2FE78E">
      <w:pPr>
        <w:jc w:val="both"/>
        <w:rPr>
          <w:sz w:val="22"/>
          <w:szCs w:val="22"/>
        </w:rPr>
      </w:pPr>
      <w:r w:rsidRPr="00AC0219">
        <w:rPr>
          <w:sz w:val="22"/>
          <w:szCs w:val="22"/>
        </w:rPr>
        <w:t>La</w:t>
      </w:r>
      <w:r w:rsidR="00452326">
        <w:rPr>
          <w:sz w:val="22"/>
          <w:szCs w:val="22"/>
        </w:rPr>
        <w:t xml:space="preserve"> </w:t>
      </w:r>
      <w:r w:rsidRPr="00AC0219">
        <w:rPr>
          <w:sz w:val="22"/>
          <w:szCs w:val="22"/>
        </w:rPr>
        <w:t>finalidad</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este</w:t>
      </w:r>
      <w:r w:rsidR="00452326">
        <w:rPr>
          <w:sz w:val="22"/>
          <w:szCs w:val="22"/>
        </w:rPr>
        <w:t xml:space="preserve"> </w:t>
      </w:r>
      <w:r w:rsidRPr="00AC0219">
        <w:rPr>
          <w:sz w:val="22"/>
          <w:szCs w:val="22"/>
        </w:rPr>
        <w:t>análisis</w:t>
      </w:r>
      <w:r w:rsidR="00452326">
        <w:rPr>
          <w:sz w:val="22"/>
          <w:szCs w:val="22"/>
        </w:rPr>
        <w:t xml:space="preserve"> </w:t>
      </w:r>
      <w:r w:rsidRPr="00AC0219">
        <w:rPr>
          <w:sz w:val="22"/>
          <w:szCs w:val="22"/>
        </w:rPr>
        <w:t>es</w:t>
      </w:r>
      <w:r w:rsidR="00452326">
        <w:rPr>
          <w:sz w:val="22"/>
          <w:szCs w:val="22"/>
        </w:rPr>
        <w:t xml:space="preserve"> </w:t>
      </w:r>
      <w:r w:rsidRPr="00AC0219">
        <w:rPr>
          <w:sz w:val="22"/>
          <w:szCs w:val="22"/>
        </w:rPr>
        <w:t>contribuir</w:t>
      </w:r>
      <w:r w:rsidR="00452326">
        <w:rPr>
          <w:sz w:val="22"/>
          <w:szCs w:val="22"/>
        </w:rPr>
        <w:t xml:space="preserve"> </w:t>
      </w:r>
      <w:r w:rsidRPr="00AC0219">
        <w:rPr>
          <w:sz w:val="22"/>
          <w:szCs w:val="22"/>
        </w:rPr>
        <w:t>al</w:t>
      </w:r>
      <w:r w:rsidR="00452326">
        <w:rPr>
          <w:sz w:val="22"/>
          <w:szCs w:val="22"/>
        </w:rPr>
        <w:t xml:space="preserve"> </w:t>
      </w:r>
      <w:r w:rsidRPr="00AC0219">
        <w:rPr>
          <w:sz w:val="22"/>
          <w:szCs w:val="22"/>
        </w:rPr>
        <w:t>fortalecimiento</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capacidad</w:t>
      </w:r>
      <w:r w:rsidR="00452326">
        <w:rPr>
          <w:sz w:val="22"/>
          <w:szCs w:val="22"/>
        </w:rPr>
        <w:t xml:space="preserve"> </w:t>
      </w:r>
      <w:r w:rsidRPr="00AC0219">
        <w:rPr>
          <w:sz w:val="22"/>
          <w:szCs w:val="22"/>
        </w:rPr>
        <w:t>organizacional</w:t>
      </w:r>
      <w:r w:rsidR="00452326">
        <w:rPr>
          <w:sz w:val="22"/>
          <w:szCs w:val="22"/>
        </w:rPr>
        <w:t xml:space="preserve"> </w:t>
      </w:r>
      <w:r w:rsidRPr="00AC0219">
        <w:rPr>
          <w:sz w:val="22"/>
          <w:szCs w:val="22"/>
        </w:rPr>
        <w:t>del</w:t>
      </w:r>
      <w:r w:rsidR="00452326">
        <w:rPr>
          <w:sz w:val="22"/>
          <w:szCs w:val="22"/>
        </w:rPr>
        <w:t xml:space="preserve"> </w:t>
      </w:r>
      <w:r w:rsidRPr="00AC0219">
        <w:rPr>
          <w:sz w:val="22"/>
          <w:szCs w:val="22"/>
        </w:rPr>
        <w:t>sector</w:t>
      </w:r>
      <w:r w:rsidR="00452326">
        <w:rPr>
          <w:sz w:val="22"/>
          <w:szCs w:val="22"/>
        </w:rPr>
        <w:t xml:space="preserve"> </w:t>
      </w:r>
      <w:r w:rsidRPr="00AC0219">
        <w:rPr>
          <w:sz w:val="22"/>
          <w:szCs w:val="22"/>
        </w:rPr>
        <w:t>público</w:t>
      </w:r>
      <w:r w:rsidR="00452326">
        <w:rPr>
          <w:sz w:val="22"/>
          <w:szCs w:val="22"/>
        </w:rPr>
        <w:t xml:space="preserve"> </w:t>
      </w:r>
      <w:r w:rsidRPr="00AC0219">
        <w:rPr>
          <w:sz w:val="22"/>
          <w:szCs w:val="22"/>
        </w:rPr>
        <w:t>para</w:t>
      </w:r>
      <w:r w:rsidR="00452326">
        <w:rPr>
          <w:sz w:val="22"/>
          <w:szCs w:val="22"/>
        </w:rPr>
        <w:t xml:space="preserve"> </w:t>
      </w:r>
      <w:r w:rsidRPr="00AC0219">
        <w:rPr>
          <w:sz w:val="22"/>
          <w:szCs w:val="22"/>
        </w:rPr>
        <w:t>reconocer,</w:t>
      </w:r>
      <w:r w:rsidR="00452326">
        <w:rPr>
          <w:sz w:val="22"/>
          <w:szCs w:val="22"/>
        </w:rPr>
        <w:t xml:space="preserve"> </w:t>
      </w:r>
      <w:r w:rsidRPr="00AC0219">
        <w:rPr>
          <w:sz w:val="22"/>
          <w:szCs w:val="22"/>
        </w:rPr>
        <w:t>anticipar</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transformar</w:t>
      </w:r>
      <w:r w:rsidR="00452326">
        <w:rPr>
          <w:sz w:val="22"/>
          <w:szCs w:val="22"/>
        </w:rPr>
        <w:t xml:space="preserve"> </w:t>
      </w:r>
      <w:r w:rsidRPr="00AC0219">
        <w:rPr>
          <w:sz w:val="22"/>
          <w:szCs w:val="22"/>
        </w:rPr>
        <w:t>las</w:t>
      </w:r>
      <w:r w:rsidR="00452326">
        <w:rPr>
          <w:sz w:val="22"/>
          <w:szCs w:val="22"/>
        </w:rPr>
        <w:t xml:space="preserve"> </w:t>
      </w:r>
      <w:r w:rsidRPr="00AC0219">
        <w:rPr>
          <w:sz w:val="22"/>
          <w:szCs w:val="22"/>
        </w:rPr>
        <w:t>dinámicas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materializan</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riesgos</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formulación</w:t>
      </w:r>
      <w:r w:rsidR="00452326">
        <w:rPr>
          <w:sz w:val="22"/>
          <w:szCs w:val="22"/>
        </w:rPr>
        <w:t xml:space="preserve"> </w:t>
      </w:r>
      <w:r w:rsidRPr="00AC0219">
        <w:rPr>
          <w:sz w:val="22"/>
          <w:szCs w:val="22"/>
        </w:rPr>
        <w:t>e</w:t>
      </w:r>
      <w:r w:rsidR="00452326">
        <w:rPr>
          <w:sz w:val="22"/>
          <w:szCs w:val="22"/>
        </w:rPr>
        <w:t xml:space="preserve"> </w:t>
      </w:r>
      <w:r w:rsidRPr="00AC0219">
        <w:rPr>
          <w:sz w:val="22"/>
          <w:szCs w:val="22"/>
        </w:rPr>
        <w:t>implementación</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políticas.</w:t>
      </w:r>
      <w:r w:rsidR="00452326">
        <w:rPr>
          <w:sz w:val="22"/>
          <w:szCs w:val="22"/>
        </w:rPr>
        <w:t xml:space="preserve"> </w:t>
      </w:r>
      <w:r w:rsidRPr="00AC0219">
        <w:rPr>
          <w:sz w:val="22"/>
          <w:szCs w:val="22"/>
        </w:rPr>
        <w:t>Desde</w:t>
      </w:r>
      <w:r w:rsidR="00452326">
        <w:rPr>
          <w:sz w:val="22"/>
          <w:szCs w:val="22"/>
        </w:rPr>
        <w:t xml:space="preserve"> </w:t>
      </w:r>
      <w:r w:rsidRPr="00AC0219">
        <w:rPr>
          <w:sz w:val="22"/>
          <w:szCs w:val="22"/>
        </w:rPr>
        <w:t>esta</w:t>
      </w:r>
      <w:r w:rsidR="00452326">
        <w:rPr>
          <w:sz w:val="22"/>
          <w:szCs w:val="22"/>
        </w:rPr>
        <w:t xml:space="preserve"> </w:t>
      </w:r>
      <w:r w:rsidRPr="00AC0219">
        <w:rPr>
          <w:sz w:val="22"/>
          <w:szCs w:val="22"/>
        </w:rPr>
        <w:t>perspectiva,</w:t>
      </w:r>
      <w:r w:rsidR="00452326">
        <w:rPr>
          <w:sz w:val="22"/>
          <w:szCs w:val="22"/>
        </w:rPr>
        <w:t xml:space="preserve"> </w:t>
      </w:r>
      <w:r w:rsidRPr="00AC0219">
        <w:rPr>
          <w:sz w:val="22"/>
          <w:szCs w:val="22"/>
        </w:rPr>
        <w:t>la</w:t>
      </w:r>
      <w:r w:rsidR="00452326">
        <w:rPr>
          <w:sz w:val="22"/>
          <w:szCs w:val="22"/>
        </w:rPr>
        <w:t xml:space="preserve"> </w:t>
      </w:r>
      <w:r w:rsidRPr="00AC0219">
        <w:rPr>
          <w:sz w:val="22"/>
          <w:szCs w:val="22"/>
        </w:rPr>
        <w:t>gestión</w:t>
      </w:r>
      <w:r w:rsidR="00452326">
        <w:rPr>
          <w:sz w:val="22"/>
          <w:szCs w:val="22"/>
        </w:rPr>
        <w:t xml:space="preserve"> </w:t>
      </w:r>
      <w:r w:rsidRPr="00AC0219">
        <w:rPr>
          <w:sz w:val="22"/>
          <w:szCs w:val="22"/>
        </w:rPr>
        <w:t>del</w:t>
      </w:r>
      <w:r w:rsidR="00452326">
        <w:rPr>
          <w:sz w:val="22"/>
          <w:szCs w:val="22"/>
        </w:rPr>
        <w:t xml:space="preserve"> </w:t>
      </w:r>
      <w:r w:rsidRPr="00AC0219">
        <w:rPr>
          <w:sz w:val="22"/>
          <w:szCs w:val="22"/>
        </w:rPr>
        <w:t>riesgo</w:t>
      </w:r>
      <w:r w:rsidR="00452326">
        <w:rPr>
          <w:sz w:val="22"/>
          <w:szCs w:val="22"/>
        </w:rPr>
        <w:t xml:space="preserve"> </w:t>
      </w:r>
      <w:r w:rsidRPr="00AC0219">
        <w:rPr>
          <w:sz w:val="22"/>
          <w:szCs w:val="22"/>
        </w:rPr>
        <w:t>trasciende</w:t>
      </w:r>
      <w:r w:rsidR="00452326">
        <w:rPr>
          <w:sz w:val="22"/>
          <w:szCs w:val="22"/>
        </w:rPr>
        <w:t xml:space="preserve"> </w:t>
      </w:r>
      <w:r w:rsidRPr="00AC0219">
        <w:rPr>
          <w:sz w:val="22"/>
          <w:szCs w:val="22"/>
        </w:rPr>
        <w:t>los</w:t>
      </w:r>
      <w:r w:rsidR="00452326">
        <w:rPr>
          <w:sz w:val="22"/>
          <w:szCs w:val="22"/>
        </w:rPr>
        <w:t xml:space="preserve"> </w:t>
      </w:r>
      <w:r w:rsidRPr="00AC0219">
        <w:rPr>
          <w:sz w:val="22"/>
          <w:szCs w:val="22"/>
        </w:rPr>
        <w:t>enfoques</w:t>
      </w:r>
      <w:r w:rsidR="00452326">
        <w:rPr>
          <w:sz w:val="22"/>
          <w:szCs w:val="22"/>
        </w:rPr>
        <w:t xml:space="preserve"> </w:t>
      </w:r>
      <w:r w:rsidRPr="00AC0219">
        <w:rPr>
          <w:sz w:val="22"/>
          <w:szCs w:val="22"/>
        </w:rPr>
        <w:t>tradicionales</w:t>
      </w:r>
      <w:r w:rsidR="00452326">
        <w:rPr>
          <w:sz w:val="22"/>
          <w:szCs w:val="22"/>
        </w:rPr>
        <w:t xml:space="preserve"> </w:t>
      </w:r>
      <w:r w:rsidRPr="00AC0219">
        <w:rPr>
          <w:sz w:val="22"/>
          <w:szCs w:val="22"/>
        </w:rPr>
        <w:t>centrados</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controles</w:t>
      </w:r>
      <w:r w:rsidR="00452326">
        <w:rPr>
          <w:sz w:val="22"/>
          <w:szCs w:val="22"/>
        </w:rPr>
        <w:t xml:space="preserve"> </w:t>
      </w:r>
      <w:r w:rsidRPr="00AC0219">
        <w:rPr>
          <w:sz w:val="22"/>
          <w:szCs w:val="22"/>
        </w:rPr>
        <w:t>operativos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mecanismos</w:t>
      </w:r>
      <w:r w:rsidR="00452326">
        <w:rPr>
          <w:sz w:val="22"/>
          <w:szCs w:val="22"/>
        </w:rPr>
        <w:t xml:space="preserve"> </w:t>
      </w:r>
      <w:r w:rsidRPr="00AC0219">
        <w:rPr>
          <w:sz w:val="22"/>
          <w:szCs w:val="22"/>
        </w:rPr>
        <w:t>reactivos,</w:t>
      </w:r>
      <w:r w:rsidR="00452326">
        <w:rPr>
          <w:sz w:val="22"/>
          <w:szCs w:val="22"/>
        </w:rPr>
        <w:t xml:space="preserve"> </w:t>
      </w:r>
      <w:r w:rsidRPr="00AC0219">
        <w:rPr>
          <w:sz w:val="22"/>
          <w:szCs w:val="22"/>
        </w:rPr>
        <w:t>para</w:t>
      </w:r>
      <w:r w:rsidR="00452326">
        <w:rPr>
          <w:sz w:val="22"/>
          <w:szCs w:val="22"/>
        </w:rPr>
        <w:t xml:space="preserve"> </w:t>
      </w:r>
      <w:r w:rsidRPr="00AC0219">
        <w:rPr>
          <w:sz w:val="22"/>
          <w:szCs w:val="22"/>
        </w:rPr>
        <w:t>situarse</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un</w:t>
      </w:r>
      <w:r w:rsidR="00452326">
        <w:rPr>
          <w:sz w:val="22"/>
          <w:szCs w:val="22"/>
        </w:rPr>
        <w:t xml:space="preserve"> </w:t>
      </w:r>
      <w:r w:rsidRPr="00AC0219">
        <w:rPr>
          <w:sz w:val="22"/>
          <w:szCs w:val="22"/>
        </w:rPr>
        <w:t>plano</w:t>
      </w:r>
      <w:r w:rsidR="00452326">
        <w:rPr>
          <w:sz w:val="22"/>
          <w:szCs w:val="22"/>
        </w:rPr>
        <w:t xml:space="preserve"> </w:t>
      </w:r>
      <w:r w:rsidRPr="00AC0219">
        <w:rPr>
          <w:sz w:val="22"/>
          <w:szCs w:val="22"/>
        </w:rPr>
        <w:t>estructural</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involucra</w:t>
      </w:r>
      <w:r w:rsidR="00452326">
        <w:rPr>
          <w:sz w:val="22"/>
          <w:szCs w:val="22"/>
        </w:rPr>
        <w:t xml:space="preserve"> </w:t>
      </w:r>
      <w:r w:rsidRPr="00AC0219">
        <w:rPr>
          <w:sz w:val="22"/>
          <w:szCs w:val="22"/>
        </w:rPr>
        <w:t>decisiones</w:t>
      </w:r>
      <w:r w:rsidR="00452326">
        <w:rPr>
          <w:sz w:val="22"/>
          <w:szCs w:val="22"/>
        </w:rPr>
        <w:t xml:space="preserve"> </w:t>
      </w:r>
      <w:r w:rsidRPr="00AC0219">
        <w:rPr>
          <w:sz w:val="22"/>
          <w:szCs w:val="22"/>
        </w:rPr>
        <w:t>estratégicas,</w:t>
      </w:r>
      <w:r w:rsidR="00452326">
        <w:rPr>
          <w:sz w:val="22"/>
          <w:szCs w:val="22"/>
        </w:rPr>
        <w:t xml:space="preserve"> </w:t>
      </w:r>
      <w:r w:rsidRPr="00AC0219">
        <w:rPr>
          <w:sz w:val="22"/>
          <w:szCs w:val="22"/>
        </w:rPr>
        <w:t>modelos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gobernanza,</w:t>
      </w:r>
      <w:r w:rsidR="00452326">
        <w:rPr>
          <w:sz w:val="22"/>
          <w:szCs w:val="22"/>
        </w:rPr>
        <w:t xml:space="preserve"> </w:t>
      </w:r>
      <w:r w:rsidRPr="00AC0219">
        <w:rPr>
          <w:sz w:val="22"/>
          <w:szCs w:val="22"/>
        </w:rPr>
        <w:t>cultura</w:t>
      </w:r>
      <w:r w:rsidR="00452326">
        <w:rPr>
          <w:sz w:val="22"/>
          <w:szCs w:val="22"/>
        </w:rPr>
        <w:t xml:space="preserve"> </w:t>
      </w:r>
      <w:r w:rsidRPr="00AC0219">
        <w:rPr>
          <w:sz w:val="22"/>
          <w:szCs w:val="22"/>
        </w:rPr>
        <w:t>organizacional,</w:t>
      </w:r>
      <w:r w:rsidR="00452326">
        <w:rPr>
          <w:sz w:val="22"/>
          <w:szCs w:val="22"/>
        </w:rPr>
        <w:t xml:space="preserve"> </w:t>
      </w:r>
      <w:r w:rsidRPr="00AC0219">
        <w:rPr>
          <w:sz w:val="22"/>
          <w:szCs w:val="22"/>
        </w:rPr>
        <w:t>patrones</w:t>
      </w:r>
      <w:r w:rsidR="00452326">
        <w:rPr>
          <w:sz w:val="22"/>
          <w:szCs w:val="22"/>
        </w:rPr>
        <w:t xml:space="preserve"> </w:t>
      </w:r>
      <w:r w:rsidRPr="00AC0219">
        <w:rPr>
          <w:sz w:val="22"/>
          <w:szCs w:val="22"/>
        </w:rPr>
        <w:t>de</w:t>
      </w:r>
      <w:r w:rsidR="00452326">
        <w:rPr>
          <w:sz w:val="22"/>
          <w:szCs w:val="22"/>
        </w:rPr>
        <w:t xml:space="preserve"> </w:t>
      </w:r>
      <w:r w:rsidRPr="00AC0219">
        <w:rPr>
          <w:sz w:val="22"/>
          <w:szCs w:val="22"/>
        </w:rPr>
        <w:t>comportamiento,</w:t>
      </w:r>
      <w:r w:rsidR="00452326">
        <w:rPr>
          <w:sz w:val="22"/>
          <w:szCs w:val="22"/>
        </w:rPr>
        <w:t xml:space="preserve"> </w:t>
      </w:r>
      <w:r w:rsidRPr="00AC0219">
        <w:rPr>
          <w:sz w:val="22"/>
          <w:szCs w:val="22"/>
        </w:rPr>
        <w:t>esquemas</w:t>
      </w:r>
      <w:r w:rsidR="00452326">
        <w:rPr>
          <w:sz w:val="22"/>
          <w:szCs w:val="22"/>
        </w:rPr>
        <w:t xml:space="preserve"> </w:t>
      </w:r>
      <w:r w:rsidRPr="00AC0219">
        <w:rPr>
          <w:sz w:val="22"/>
          <w:szCs w:val="22"/>
        </w:rPr>
        <w:t>cognitivos</w:t>
      </w:r>
      <w:r w:rsidR="00452326">
        <w:rPr>
          <w:sz w:val="22"/>
          <w:szCs w:val="22"/>
        </w:rPr>
        <w:t xml:space="preserve"> </w:t>
      </w:r>
      <w:r w:rsidRPr="00AC0219">
        <w:rPr>
          <w:sz w:val="22"/>
          <w:szCs w:val="22"/>
        </w:rPr>
        <w:t>y</w:t>
      </w:r>
      <w:r w:rsidR="00452326">
        <w:rPr>
          <w:sz w:val="22"/>
          <w:szCs w:val="22"/>
        </w:rPr>
        <w:t xml:space="preserve"> </w:t>
      </w:r>
      <w:r w:rsidRPr="00AC0219">
        <w:rPr>
          <w:sz w:val="22"/>
          <w:szCs w:val="22"/>
        </w:rPr>
        <w:t>dinámicas</w:t>
      </w:r>
      <w:r w:rsidR="00452326">
        <w:rPr>
          <w:sz w:val="22"/>
          <w:szCs w:val="22"/>
        </w:rPr>
        <w:t xml:space="preserve"> </w:t>
      </w:r>
      <w:r w:rsidRPr="00AC0219">
        <w:rPr>
          <w:sz w:val="22"/>
          <w:szCs w:val="22"/>
        </w:rPr>
        <w:t>institucionales</w:t>
      </w:r>
      <w:r w:rsidR="00452326">
        <w:rPr>
          <w:sz w:val="22"/>
          <w:szCs w:val="22"/>
        </w:rPr>
        <w:t xml:space="preserve"> </w:t>
      </w:r>
      <w:r w:rsidRPr="00AC0219">
        <w:rPr>
          <w:sz w:val="22"/>
          <w:szCs w:val="22"/>
        </w:rPr>
        <w:t>que</w:t>
      </w:r>
      <w:r w:rsidR="00452326">
        <w:rPr>
          <w:sz w:val="22"/>
          <w:szCs w:val="22"/>
        </w:rPr>
        <w:t xml:space="preserve"> </w:t>
      </w:r>
      <w:r w:rsidRPr="00AC0219">
        <w:rPr>
          <w:sz w:val="22"/>
          <w:szCs w:val="22"/>
        </w:rPr>
        <w:t>configuran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desempeño</w:t>
      </w:r>
      <w:r w:rsidR="00452326">
        <w:rPr>
          <w:sz w:val="22"/>
          <w:szCs w:val="22"/>
        </w:rPr>
        <w:t xml:space="preserve"> </w:t>
      </w:r>
      <w:r w:rsidRPr="00AC0219">
        <w:rPr>
          <w:sz w:val="22"/>
          <w:szCs w:val="22"/>
        </w:rPr>
        <w:t>del</w:t>
      </w:r>
      <w:r w:rsidR="00452326">
        <w:rPr>
          <w:sz w:val="22"/>
          <w:szCs w:val="22"/>
        </w:rPr>
        <w:t xml:space="preserve"> </w:t>
      </w:r>
      <w:r w:rsidRPr="00AC0219">
        <w:rPr>
          <w:sz w:val="22"/>
          <w:szCs w:val="22"/>
        </w:rPr>
        <w:t>sistema</w:t>
      </w:r>
      <w:r w:rsidR="00452326">
        <w:rPr>
          <w:sz w:val="22"/>
          <w:szCs w:val="22"/>
        </w:rPr>
        <w:t xml:space="preserve"> </w:t>
      </w:r>
      <w:r w:rsidRPr="00AC0219">
        <w:rPr>
          <w:sz w:val="22"/>
          <w:szCs w:val="22"/>
        </w:rPr>
        <w:t>público</w:t>
      </w:r>
      <w:r w:rsidR="00452326">
        <w:rPr>
          <w:sz w:val="22"/>
          <w:szCs w:val="22"/>
        </w:rPr>
        <w:t xml:space="preserve"> </w:t>
      </w:r>
      <w:r w:rsidRPr="00AC0219">
        <w:rPr>
          <w:sz w:val="22"/>
          <w:szCs w:val="22"/>
        </w:rPr>
        <w:t>en</w:t>
      </w:r>
      <w:r w:rsidR="00452326">
        <w:rPr>
          <w:sz w:val="22"/>
          <w:szCs w:val="22"/>
        </w:rPr>
        <w:t xml:space="preserve"> </w:t>
      </w:r>
      <w:r w:rsidRPr="00AC0219">
        <w:rPr>
          <w:sz w:val="22"/>
          <w:szCs w:val="22"/>
        </w:rPr>
        <w:t>el</w:t>
      </w:r>
      <w:r w:rsidR="00452326">
        <w:rPr>
          <w:sz w:val="22"/>
          <w:szCs w:val="22"/>
        </w:rPr>
        <w:t xml:space="preserve"> </w:t>
      </w:r>
      <w:r w:rsidRPr="00AC0219">
        <w:rPr>
          <w:sz w:val="22"/>
          <w:szCs w:val="22"/>
        </w:rPr>
        <w:t>tiempo.</w:t>
      </w:r>
    </w:p>
    <w:p w:rsidR="00BB18E2" w:rsidP="00BB18E2" w:rsidRDefault="00BB18E2" w14:paraId="6F2BEA76" w14:textId="77777777">
      <w:pPr>
        <w:spacing w:after="0"/>
        <w:jc w:val="both"/>
        <w:rPr>
          <w:sz w:val="22"/>
          <w:szCs w:val="22"/>
        </w:rPr>
      </w:pPr>
    </w:p>
    <w:p w:rsidRPr="00AC0219" w:rsidR="009B32DD" w:rsidP="00920364" w:rsidRDefault="009B32DD" w14:paraId="5E019629" w14:textId="479DDB48">
      <w:pPr>
        <w:pStyle w:val="Ttulo1"/>
        <w:numPr>
          <w:ilvl w:val="0"/>
          <w:numId w:val="6"/>
        </w:numPr>
        <w:jc w:val="center"/>
        <w:rPr>
          <w:b/>
          <w:bCs/>
          <w:color w:val="auto"/>
          <w:sz w:val="24"/>
          <w:szCs w:val="24"/>
        </w:rPr>
      </w:pPr>
      <w:bookmarkStart w:name="_Toc225160595" w:id="2"/>
      <w:r w:rsidRPr="00AC0219">
        <w:rPr>
          <w:b/>
          <w:bCs/>
          <w:color w:val="auto"/>
          <w:sz w:val="24"/>
          <w:szCs w:val="24"/>
        </w:rPr>
        <w:t>MARCO</w:t>
      </w:r>
      <w:r w:rsidR="00452326">
        <w:rPr>
          <w:b/>
          <w:bCs/>
          <w:color w:val="auto"/>
          <w:sz w:val="24"/>
          <w:szCs w:val="24"/>
        </w:rPr>
        <w:t xml:space="preserve"> </w:t>
      </w:r>
      <w:r w:rsidRPr="00AC0219">
        <w:rPr>
          <w:b/>
          <w:bCs/>
          <w:color w:val="auto"/>
          <w:sz w:val="24"/>
          <w:szCs w:val="24"/>
        </w:rPr>
        <w:t>CONCEPTUAL</w:t>
      </w:r>
      <w:bookmarkEnd w:id="2"/>
      <w:r w:rsidR="00B45B05">
        <w:rPr>
          <w:b/>
          <w:bCs/>
          <w:color w:val="auto"/>
          <w:sz w:val="24"/>
          <w:szCs w:val="24"/>
        </w:rPr>
        <w:t xml:space="preserve"> </w:t>
      </w:r>
    </w:p>
    <w:p w:rsidRPr="00520B99" w:rsidR="00520B99" w:rsidP="00520B99" w:rsidRDefault="00520B99" w14:paraId="427873E9" w14:textId="5C32A5B9">
      <w:pPr>
        <w:spacing w:line="276" w:lineRule="auto"/>
        <w:jc w:val="both"/>
        <w:rPr>
          <w:sz w:val="22"/>
          <w:szCs w:val="22"/>
        </w:rPr>
      </w:pPr>
    </w:p>
    <w:p w:rsidRPr="00A66C54" w:rsidR="48BDBEFF" w:rsidP="00A66C54" w:rsidRDefault="1B7DEE9E" w14:paraId="3F8BEA53" w14:textId="19E42737">
      <w:pPr>
        <w:spacing w:line="276" w:lineRule="auto"/>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El concepto de riesgo ha evolucionado en las ciencias sociales y organizacionales, pasando de entenderse como una amenaza externa o imprevisible a ser considerado un fenómeno asociado a la toma de decisiones bajo condiciones de incertidumbre. Como señala </w:t>
      </w:r>
      <w:proofErr w:type="spellStart"/>
      <w:r w:rsidRPr="53A6DE65">
        <w:rPr>
          <w:rFonts w:ascii="Aptos" w:hAnsi="Aptos" w:eastAsia="Aptos" w:cs="Aptos"/>
          <w:color w:val="000000" w:themeColor="text1"/>
          <w:sz w:val="22"/>
          <w:szCs w:val="22"/>
        </w:rPr>
        <w:t>Gigerenzer</w:t>
      </w:r>
      <w:proofErr w:type="spellEnd"/>
      <w:r w:rsidRPr="53A6DE65">
        <w:rPr>
          <w:rFonts w:ascii="Aptos" w:hAnsi="Aptos" w:eastAsia="Aptos" w:cs="Aptos"/>
          <w:color w:val="000000" w:themeColor="text1"/>
          <w:sz w:val="22"/>
          <w:szCs w:val="22"/>
        </w:rPr>
        <w:t xml:space="preserve"> (2002), el término proviene del vocablo italiano </w:t>
      </w:r>
      <w:proofErr w:type="spellStart"/>
      <w:r w:rsidRPr="53A6DE65">
        <w:rPr>
          <w:rFonts w:ascii="Aptos" w:hAnsi="Aptos" w:eastAsia="Aptos" w:cs="Aptos"/>
          <w:i/>
          <w:iCs/>
          <w:color w:val="000000" w:themeColor="text1"/>
          <w:sz w:val="22"/>
          <w:szCs w:val="22"/>
        </w:rPr>
        <w:t>risicare</w:t>
      </w:r>
      <w:proofErr w:type="spellEnd"/>
      <w:r w:rsidRPr="53A6DE65">
        <w:rPr>
          <w:rFonts w:ascii="Aptos" w:hAnsi="Aptos" w:eastAsia="Aptos" w:cs="Aptos"/>
          <w:color w:val="000000" w:themeColor="text1"/>
          <w:sz w:val="22"/>
          <w:szCs w:val="22"/>
        </w:rPr>
        <w:t>, que significa “atreverse”, lo que vincula el riesgo con elecciones que implican responsabilidad frente a sus posibles consecuencias.</w:t>
      </w:r>
      <w:r w:rsidRPr="53A6DE65" w:rsidR="4F9C8C07">
        <w:rPr>
          <w:rFonts w:ascii="Aptos" w:hAnsi="Aptos" w:eastAsia="Aptos" w:cs="Aptos"/>
          <w:color w:val="000000" w:themeColor="text1"/>
          <w:sz w:val="22"/>
          <w:szCs w:val="22"/>
        </w:rPr>
        <w:t xml:space="preserve"> En contextos institucionales</w:t>
      </w:r>
      <w:r w:rsidRPr="53A6DE65">
        <w:rPr>
          <w:rFonts w:ascii="Aptos" w:hAnsi="Aptos" w:eastAsia="Aptos" w:cs="Aptos"/>
          <w:color w:val="000000" w:themeColor="text1"/>
          <w:sz w:val="22"/>
          <w:szCs w:val="22"/>
        </w:rPr>
        <w:t>, esta perspectiva resulta particularmente relevante, ya que la formulación e implementación de programas estatales implica decisiones institucionales que deben gestionar incertidumbres, evaluar consecuencias y anticipar posibles efectos adversos en contextos sociales complejos.</w:t>
      </w:r>
    </w:p>
    <w:p w:rsidR="24C98D8F" w:rsidP="002507A3" w:rsidRDefault="24C98D8F" w14:paraId="4E77E233" w14:textId="76C0C87D">
      <w:pPr>
        <w:spacing w:after="0"/>
        <w:ind w:right="-142"/>
        <w:jc w:val="both"/>
        <w:rPr>
          <w:rFonts w:ascii="Aptos" w:hAnsi="Aptos" w:eastAsia="Aptos" w:cs="Aptos"/>
          <w:color w:val="000000" w:themeColor="text1"/>
          <w:sz w:val="22"/>
          <w:szCs w:val="22"/>
          <w:lang w:val="es-ES"/>
        </w:rPr>
      </w:pPr>
      <w:r w:rsidRPr="6724CA95">
        <w:rPr>
          <w:rFonts w:ascii="Aptos" w:hAnsi="Aptos" w:eastAsia="Aptos" w:cs="Aptos"/>
          <w:color w:val="000000" w:themeColor="text1"/>
          <w:sz w:val="22"/>
          <w:szCs w:val="22"/>
          <w:lang w:val="es-ES"/>
        </w:rPr>
        <w:t>Con el desarrollo de la modernidad y la consolidación del pensamiento científico racional, el riesgo comenzó a conceptualizarse mediante modelos probabilísticos, cálculos estadísticos y mecanismos sistemáticos de gestión, dejando de interpretarse como una fatalidad imprevisible para entenderse como un fenómeno susceptible de medición, evaluación y administración dentro de procesos de decisión organizacional e institucional (Hacking, 1990). En este marco, la gestión del riesgo organizacional ha sido tradicionalmente abordada mediante controles internos, matrices de evaluación y mecanismos de supervisión orientados a prevenir fallas individuales. Sin embargo, cuando los eventos adversos ocurren en organizaciones altamente estructuradas y técnicamente competentes, el riesgo requiere ser comprendido como un fenómeno estructural emergente vinculado a dinámicas organizacionales, institucionales y tecnológicas que influyen en la implementación de decisiones y políticas públicas (Vaughan, 1999).</w:t>
      </w:r>
    </w:p>
    <w:p w:rsidRPr="00EE179C" w:rsidR="00714D6D" w:rsidP="6724CA95" w:rsidRDefault="00714D6D" w14:paraId="2DA8415E" w14:textId="431DE6D4">
      <w:pPr>
        <w:spacing w:after="0"/>
        <w:ind w:right="-142"/>
        <w:jc w:val="both"/>
        <w:rPr>
          <w:rFonts w:ascii="Aptos" w:hAnsi="Aptos" w:eastAsia="Aptos" w:cs="Aptos"/>
          <w:sz w:val="22"/>
          <w:szCs w:val="22"/>
        </w:rPr>
      </w:pPr>
    </w:p>
    <w:p w:rsidRPr="002507A3" w:rsidR="00714D6D" w:rsidP="6724CA95" w:rsidRDefault="65329376" w14:paraId="4A89FA90" w14:textId="714EDD1E">
      <w:pPr>
        <w:spacing w:after="0"/>
        <w:ind w:right="-142"/>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Tradicionalmente, el riesgo organizacional fue interpretado desde la teoría de la elección racional, según la cual los actores toman decisiones evaluando costos y beneficios para maximizar intereses </w:t>
      </w:r>
      <w:r w:rsidRPr="53A6DE65">
        <w:rPr>
          <w:rFonts w:ascii="Aptos" w:hAnsi="Aptos" w:eastAsia="Aptos" w:cs="Aptos"/>
          <w:color w:val="000000" w:themeColor="text1"/>
          <w:sz w:val="22"/>
          <w:szCs w:val="22"/>
        </w:rPr>
        <w:lastRenderedPageBreak/>
        <w:t>o evitar sanciones (Coleman, 1990; Hechter &amp; Kanazawa, 1997). Sin embargo, enfoques posteriores han mostrado que las decisiones en organizaciones complejas, incluidas las instituciones públicas, se adoptan bajo condiciones de información limitada y racionalidad restringida, donde los actores buscan soluciones satisfactorias más que óptimas (</w:t>
      </w:r>
      <w:proofErr w:type="spellStart"/>
      <w:r w:rsidRPr="53A6DE65">
        <w:rPr>
          <w:rFonts w:ascii="Aptos" w:hAnsi="Aptos" w:eastAsia="Aptos" w:cs="Aptos"/>
          <w:color w:val="000000" w:themeColor="text1"/>
          <w:sz w:val="22"/>
          <w:szCs w:val="22"/>
        </w:rPr>
        <w:t>Simon</w:t>
      </w:r>
      <w:proofErr w:type="spellEnd"/>
      <w:r w:rsidRPr="53A6DE65">
        <w:rPr>
          <w:rFonts w:ascii="Aptos" w:hAnsi="Aptos" w:eastAsia="Aptos" w:cs="Aptos"/>
          <w:color w:val="000000" w:themeColor="text1"/>
          <w:sz w:val="22"/>
          <w:szCs w:val="22"/>
        </w:rPr>
        <w:t xml:space="preserve">, 1957; March &amp; </w:t>
      </w:r>
      <w:proofErr w:type="spellStart"/>
      <w:r w:rsidRPr="53A6DE65">
        <w:rPr>
          <w:rFonts w:ascii="Aptos" w:hAnsi="Aptos" w:eastAsia="Aptos" w:cs="Aptos"/>
          <w:color w:val="000000" w:themeColor="text1"/>
          <w:sz w:val="22"/>
          <w:szCs w:val="22"/>
        </w:rPr>
        <w:t>Simon</w:t>
      </w:r>
      <w:proofErr w:type="spellEnd"/>
      <w:r w:rsidRPr="53A6DE65">
        <w:rPr>
          <w:rFonts w:ascii="Aptos" w:hAnsi="Aptos" w:eastAsia="Aptos" w:cs="Aptos"/>
          <w:color w:val="000000" w:themeColor="text1"/>
          <w:sz w:val="22"/>
          <w:szCs w:val="22"/>
        </w:rPr>
        <w:t xml:space="preserve">, 1958). </w:t>
      </w:r>
      <w:r w:rsidRPr="53A6DE65" w:rsidR="451A5592">
        <w:rPr>
          <w:rFonts w:ascii="Aptos" w:hAnsi="Aptos" w:eastAsia="Aptos" w:cs="Aptos"/>
          <w:color w:val="000000" w:themeColor="text1"/>
          <w:sz w:val="22"/>
          <w:szCs w:val="22"/>
        </w:rPr>
        <w:t>En la gestión pública</w:t>
      </w:r>
      <w:r w:rsidRPr="53A6DE65">
        <w:rPr>
          <w:rFonts w:ascii="Aptos" w:hAnsi="Aptos" w:eastAsia="Aptos" w:cs="Aptos"/>
          <w:color w:val="000000" w:themeColor="text1"/>
          <w:sz w:val="22"/>
          <w:szCs w:val="22"/>
        </w:rPr>
        <w:t>, esto implica reconocer que el riesgo no surge únicamente de decisiones individuales, sino también de las estructuras institucionales, la división del trabajo y la fragmentación de la información, factores que pueden dificultar la identificación temprana de vulnerabilidades en los procesos de implementación.</w:t>
      </w:r>
    </w:p>
    <w:p w:rsidR="4508395A" w:rsidP="002507A3" w:rsidRDefault="4508395A" w14:paraId="309D59E1" w14:textId="10BC70CC">
      <w:pPr>
        <w:spacing w:before="240" w:after="240"/>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La cultura constituye un componente central en la comprensión del riesgo organizacional, ya que los sistemas de creencias, valores y prácticas compartidas influyen en la forma en que las organizaciones interpretan los hechos y definen lo que se considera aceptable. Desde el nuevo institucionalismo, se plantea que las reglas culturales no solo orientan la acción, sino que también configuran las metas y los comportamientos considerados legítimos dentro de las organizaciones (Meyer &amp; Rowan, 1977; Powell &amp; DiMaggio, 1991; Zucker, 1977). </w:t>
      </w:r>
      <w:r w:rsidRPr="53A6DE65" w:rsidR="4495C71B">
        <w:rPr>
          <w:rFonts w:ascii="Aptos" w:hAnsi="Aptos" w:eastAsia="Aptos" w:cs="Aptos"/>
          <w:color w:val="000000" w:themeColor="text1"/>
          <w:sz w:val="22"/>
          <w:szCs w:val="22"/>
        </w:rPr>
        <w:t xml:space="preserve">En escenarios estatales </w:t>
      </w:r>
      <w:r w:rsidRPr="53A6DE65">
        <w:rPr>
          <w:rFonts w:ascii="Aptos" w:hAnsi="Aptos" w:eastAsia="Aptos" w:cs="Aptos"/>
          <w:color w:val="000000" w:themeColor="text1"/>
          <w:sz w:val="22"/>
          <w:szCs w:val="22"/>
        </w:rPr>
        <w:t xml:space="preserve">esto implica que la evaluación del riesgo no depende únicamente de criterios técnicos, sino también de marcos institucionales y culturales que influyen en la manera en </w:t>
      </w:r>
      <w:r w:rsidR="00C71D03">
        <w:rPr>
          <w:rFonts w:ascii="Aptos" w:hAnsi="Aptos" w:eastAsia="Aptos" w:cs="Aptos"/>
          <w:color w:val="000000" w:themeColor="text1"/>
          <w:sz w:val="22"/>
          <w:szCs w:val="22"/>
        </w:rPr>
        <w:t xml:space="preserve">la </w:t>
      </w:r>
      <w:r w:rsidRPr="53A6DE65">
        <w:rPr>
          <w:rFonts w:ascii="Aptos" w:hAnsi="Aptos" w:eastAsia="Aptos" w:cs="Aptos"/>
          <w:color w:val="000000" w:themeColor="text1"/>
          <w:sz w:val="22"/>
          <w:szCs w:val="22"/>
        </w:rPr>
        <w:t xml:space="preserve">que las </w:t>
      </w:r>
      <w:r w:rsidR="00C71D03">
        <w:rPr>
          <w:rFonts w:ascii="Aptos" w:hAnsi="Aptos" w:eastAsia="Aptos" w:cs="Aptos"/>
          <w:color w:val="000000" w:themeColor="text1"/>
          <w:sz w:val="22"/>
          <w:szCs w:val="22"/>
        </w:rPr>
        <w:t>entidades</w:t>
      </w:r>
      <w:r w:rsidRPr="53A6DE65">
        <w:rPr>
          <w:rFonts w:ascii="Aptos" w:hAnsi="Aptos" w:eastAsia="Aptos" w:cs="Aptos"/>
          <w:color w:val="000000" w:themeColor="text1"/>
          <w:sz w:val="22"/>
          <w:szCs w:val="22"/>
        </w:rPr>
        <w:t xml:space="preserve"> interpretan problemas, priorizan objetivos y toman decisiones.</w:t>
      </w:r>
    </w:p>
    <w:p w:rsidR="00714D6D" w:rsidP="007436F3" w:rsidRDefault="4508395A" w14:paraId="7D4B8446" w14:textId="67055358">
      <w:pPr>
        <w:spacing w:after="0"/>
        <w:ind w:right="-142"/>
        <w:jc w:val="both"/>
        <w:rPr>
          <w:rFonts w:ascii="Aptos" w:hAnsi="Aptos" w:eastAsia="Aptos" w:cs="Aptos"/>
          <w:sz w:val="22"/>
          <w:szCs w:val="22"/>
        </w:rPr>
      </w:pPr>
      <w:r w:rsidRPr="6724CA95">
        <w:rPr>
          <w:rFonts w:ascii="Aptos" w:hAnsi="Aptos" w:eastAsia="Aptos" w:cs="Aptos"/>
          <w:color w:val="000000" w:themeColor="text1"/>
          <w:sz w:val="22"/>
          <w:szCs w:val="22"/>
        </w:rPr>
        <w:t>En esta línea, la teoría de la acción situada plantea que las decisiones organizacionales deben entenderse dentro de los contextos sociales e institucionales en los que se producen, donde estructura, cultura y agencia interactúan de manera inseparable (Giddens, 1984; Bourdieu, 1977). Desde esta perspectiva, el riesgo organizacional no surge solo de decisiones individuales, sino de la interacción entre factores institucionales, organizacionales y contextuales que influyen en la interpretación de las situaciones y en los márgenes de acción disponibles para los actores involucrados en la formulación e implementación de políticas públicas.</w:t>
      </w:r>
    </w:p>
    <w:p w:rsidR="6724CA95" w:rsidP="6724CA95" w:rsidRDefault="6724CA95" w14:paraId="75F858BC" w14:textId="46C2153C">
      <w:pPr>
        <w:spacing w:after="0"/>
        <w:ind w:right="-142"/>
        <w:jc w:val="both"/>
        <w:rPr>
          <w:rFonts w:ascii="Aptos" w:hAnsi="Aptos" w:eastAsia="Aptos" w:cs="Aptos"/>
          <w:sz w:val="22"/>
          <w:szCs w:val="22"/>
        </w:rPr>
      </w:pPr>
    </w:p>
    <w:p w:rsidR="6368B6B8" w:rsidP="00944DA3" w:rsidRDefault="6368B6B8" w14:paraId="23F57E54" w14:textId="79A52762">
      <w:pPr>
        <w:spacing w:after="0"/>
        <w:ind w:right="-142"/>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Desde la sociología de las consecuencias no intencionadas se plantea que las acciones orientadas al cumplimiento de objetivos pueden producir efectos inesperados debido a limitaciones de conocimiento, interpretaciones erróneas o supuestos implícitos en la toma de decisiones (Merton, 1936). En </w:t>
      </w:r>
      <w:r w:rsidRPr="53A6DE65" w:rsidR="08AE1116">
        <w:rPr>
          <w:rFonts w:ascii="Aptos" w:hAnsi="Aptos" w:eastAsia="Aptos" w:cs="Aptos"/>
          <w:color w:val="000000" w:themeColor="text1"/>
          <w:sz w:val="22"/>
          <w:szCs w:val="22"/>
        </w:rPr>
        <w:t xml:space="preserve">marcos institucionales, </w:t>
      </w:r>
      <w:r w:rsidRPr="53A6DE65">
        <w:rPr>
          <w:rFonts w:ascii="Aptos" w:hAnsi="Aptos" w:eastAsia="Aptos" w:cs="Aptos"/>
          <w:color w:val="000000" w:themeColor="text1"/>
          <w:sz w:val="22"/>
          <w:szCs w:val="22"/>
        </w:rPr>
        <w:t>esto implica que decisiones adoptadas para alcanzar metas legítimas pueden generar resultados adversos no previstos, lo que evidencia que el riesgo no siempre deriva de conductas intencionalmente incorrectas, sino de la complejidad de los sistemas institucionales donde interactúan múltiples variables. En</w:t>
      </w:r>
      <w:r w:rsidRPr="53A6DE65" w:rsidR="250E28AC">
        <w:rPr>
          <w:rFonts w:ascii="Aptos" w:hAnsi="Aptos" w:eastAsia="Aptos" w:cs="Aptos"/>
          <w:color w:val="000000" w:themeColor="text1"/>
          <w:sz w:val="22"/>
          <w:szCs w:val="22"/>
        </w:rPr>
        <w:t xml:space="preserve"> </w:t>
      </w:r>
      <w:r w:rsidRPr="53A6DE65" w:rsidR="4D04872C">
        <w:rPr>
          <w:rFonts w:ascii="Aptos" w:hAnsi="Aptos" w:eastAsia="Aptos" w:cs="Aptos"/>
          <w:color w:val="000000" w:themeColor="text1"/>
          <w:sz w:val="22"/>
          <w:szCs w:val="22"/>
        </w:rPr>
        <w:t>contextos</w:t>
      </w:r>
      <w:r w:rsidRPr="53A6DE65" w:rsidR="250E28AC">
        <w:rPr>
          <w:rFonts w:ascii="Aptos" w:hAnsi="Aptos" w:eastAsia="Aptos" w:cs="Aptos"/>
          <w:color w:val="000000" w:themeColor="text1"/>
          <w:sz w:val="22"/>
          <w:szCs w:val="22"/>
        </w:rPr>
        <w:t xml:space="preserve"> de decisión pública</w:t>
      </w:r>
      <w:r w:rsidRPr="53A6DE65">
        <w:rPr>
          <w:rFonts w:ascii="Aptos" w:hAnsi="Aptos" w:eastAsia="Aptos" w:cs="Aptos"/>
          <w:color w:val="000000" w:themeColor="text1"/>
          <w:sz w:val="22"/>
          <w:szCs w:val="22"/>
        </w:rPr>
        <w:t>, esta perspectiva resulta especialmente relevante, ya que la formulación e implementación de programas estatales se desarrollan en entornos organizacionales complejos donde los efectos de las decisiones pueden diferir de los resultados esperados.</w:t>
      </w:r>
    </w:p>
    <w:p w:rsidR="6724CA95" w:rsidP="6724CA95" w:rsidRDefault="6724CA95" w14:paraId="3CE701B1" w14:textId="6C90E7F0">
      <w:pPr>
        <w:spacing w:after="0"/>
        <w:ind w:right="-142"/>
        <w:jc w:val="both"/>
        <w:rPr>
          <w:rFonts w:ascii="Aptos" w:hAnsi="Aptos" w:eastAsia="Aptos" w:cs="Aptos"/>
          <w:sz w:val="22"/>
          <w:szCs w:val="22"/>
        </w:rPr>
      </w:pPr>
    </w:p>
    <w:p w:rsidR="6C8EF032" w:rsidP="001F7A5B" w:rsidRDefault="6C8EF032" w14:paraId="3E3B71C4" w14:textId="1B75377A">
      <w:pPr>
        <w:spacing w:after="0"/>
        <w:ind w:right="49"/>
        <w:jc w:val="both"/>
        <w:rPr>
          <w:rFonts w:ascii="Aptos" w:hAnsi="Aptos" w:eastAsia="Aptos" w:cs="Aptos"/>
          <w:color w:val="000000" w:themeColor="text1"/>
          <w:sz w:val="22"/>
          <w:szCs w:val="22"/>
        </w:rPr>
      </w:pPr>
      <w:r w:rsidRPr="6724CA95">
        <w:rPr>
          <w:rFonts w:ascii="Aptos" w:hAnsi="Aptos" w:eastAsia="Aptos" w:cs="Aptos"/>
          <w:color w:val="000000" w:themeColor="text1"/>
          <w:sz w:val="22"/>
          <w:szCs w:val="22"/>
        </w:rPr>
        <w:t xml:space="preserve">Complementariamente, la literatura sobre incrustación social señala que las decisiones organizacionales están profundamente influenciadas por redes de relaciones y sistemas de creencias que orientan el comportamiento de los actores (Granovetter, 1985). Desde esta perspectiva, el riesgo organizacional debe entenderse como un fenómeno relacional y </w:t>
      </w:r>
      <w:r w:rsidRPr="6724CA95">
        <w:rPr>
          <w:rFonts w:ascii="Aptos" w:hAnsi="Aptos" w:eastAsia="Aptos" w:cs="Aptos"/>
          <w:color w:val="000000" w:themeColor="text1"/>
          <w:sz w:val="22"/>
          <w:szCs w:val="22"/>
        </w:rPr>
        <w:lastRenderedPageBreak/>
        <w:t>contextual, donde las prácticas institucionalizadas pueden ampliar gradualmente los márgenes de lo aceptable. En el análisis de políticas públicas, este enfoque permite comprender cómo las dinámicas institucionales y culturales influyen en la manera en que se perciben, gestionan o incluso normalizan determinados riesgos dentro de los procesos de implementación.</w:t>
      </w:r>
    </w:p>
    <w:p w:rsidR="64C48380" w:rsidP="00944DA3" w:rsidRDefault="64C48380" w14:paraId="561C0B2A" w14:textId="4B6DFE91">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Para la comprensión del riesgo organizacional en la implementación de proyectos de gobierno, Vaughan (1999) plantea que este no constituye una anomalía excepcional, sino una condición inherente al funcionamiento de las organizaciones. Desde esta perspectiva, el análisis del riesgo requiere trascender explicaciones centradas en el comportamiento individual y examinar las estructuras organizacionales, las metas institucionales y las dinámicas cognitivas que configuran la acción colectiva en contextos de ejecución estatal. En este marco, Vaughan desarrolla un conjunto de premisas y categorías que permiten comprender cómo el riesgo emerge y se reproduce en procesos de implementación de programas y proyectos públicos.</w:t>
      </w:r>
    </w:p>
    <w:p w:rsidR="64C48380" w:rsidP="00944DA3" w:rsidRDefault="64C48380" w14:paraId="6CA60E7E" w14:textId="5C2FC6C7">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 xml:space="preserve">Una primera categoría corresponde a la </w:t>
      </w:r>
      <w:r w:rsidRPr="704E30C7">
        <w:rPr>
          <w:rFonts w:ascii="Aptos" w:hAnsi="Aptos" w:eastAsia="Aptos" w:cs="Aptos"/>
          <w:b/>
          <w:bCs/>
          <w:color w:val="000000" w:themeColor="text1"/>
          <w:sz w:val="22"/>
          <w:szCs w:val="22"/>
        </w:rPr>
        <w:t>no conformidad rutinaria como fenómeno estructural</w:t>
      </w:r>
      <w:r w:rsidRPr="704E30C7">
        <w:rPr>
          <w:rFonts w:ascii="Aptos" w:hAnsi="Aptos" w:eastAsia="Aptos" w:cs="Aptos"/>
          <w:color w:val="000000" w:themeColor="text1"/>
          <w:sz w:val="22"/>
          <w:szCs w:val="22"/>
        </w:rPr>
        <w:t>, mediante la cual se evidencia que las organizaciones pueden generar desviaciones de manera sistemática como resultado de su propia configuración interna. En la ejecución de proyectos de gobierno, la división del trabajo, la especialización técnica y las estructuras jerárquicas fragmentan la información y dificultan la identificación oportuna de riesgos. Esta fragmentación limita la capacidad de coordinación entre actores institucionales y facilita que prácticas que se apartan de los lineamientos iniciales se incorporen progresivamente en la operación del proyecto, sin ser percibidas como problemáticas.</w:t>
      </w:r>
    </w:p>
    <w:p w:rsidR="64C48380" w:rsidP="00944DA3" w:rsidRDefault="64C48380" w14:paraId="50BD26AB" w14:textId="45DEFA13">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 xml:space="preserve">En segundo lugar, la noción de </w:t>
      </w:r>
      <w:r w:rsidRPr="704E30C7">
        <w:rPr>
          <w:rFonts w:ascii="Aptos" w:hAnsi="Aptos" w:eastAsia="Aptos" w:cs="Aptos"/>
          <w:b/>
          <w:bCs/>
          <w:color w:val="000000" w:themeColor="text1"/>
          <w:sz w:val="22"/>
          <w:szCs w:val="22"/>
        </w:rPr>
        <w:t>consecuencias no anticipadas</w:t>
      </w:r>
      <w:r w:rsidRPr="704E30C7">
        <w:rPr>
          <w:rFonts w:ascii="Aptos" w:hAnsi="Aptos" w:eastAsia="Aptos" w:cs="Aptos"/>
          <w:color w:val="000000" w:themeColor="text1"/>
          <w:sz w:val="22"/>
          <w:szCs w:val="22"/>
        </w:rPr>
        <w:t xml:space="preserve"> permite comprender que, durante la implementación de iniciativas públicas, decisiones orientadas al cumplimiento de metas institucionales pueden generar efectos adversos no previstos. Las presiones por resultados, los tiempos de ejecución y las restricciones presupuestales pueden llevar a adoptar decisiones que, aunque razonables en el corto plazo, incrementan la exposición al riesgo en el desarrollo del proyecto. De esta manera, el riesgo no se deriva únicamente de errores de planificación, sino de la complejidad propia de la ejecución en contextos institucionales dinámicos.</w:t>
      </w:r>
    </w:p>
    <w:p w:rsidR="64C48380" w:rsidP="00944DA3" w:rsidRDefault="64C48380" w14:paraId="020ED6CD" w14:textId="210BD243">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 xml:space="preserve">Una tercera categoría es el </w:t>
      </w:r>
      <w:r w:rsidRPr="704E30C7">
        <w:rPr>
          <w:rFonts w:ascii="Aptos" w:hAnsi="Aptos" w:eastAsia="Aptos" w:cs="Aptos"/>
          <w:b/>
          <w:bCs/>
          <w:color w:val="000000" w:themeColor="text1"/>
          <w:sz w:val="22"/>
          <w:szCs w:val="22"/>
        </w:rPr>
        <w:t>modelo multinivel del riesgo organizacional</w:t>
      </w:r>
      <w:r w:rsidRPr="704E30C7">
        <w:rPr>
          <w:rFonts w:ascii="Aptos" w:hAnsi="Aptos" w:eastAsia="Aptos" w:cs="Aptos"/>
          <w:color w:val="000000" w:themeColor="text1"/>
          <w:sz w:val="22"/>
          <w:szCs w:val="22"/>
        </w:rPr>
        <w:t>, que integra factores del entorno, la estructura organizacional y los procesos cognitivos. En proyectos de gobierno, el nivel macro está condicionado por marcos regulatorios, agendas políticas y presiones externas; el nivel meso por la organización institucional, la coordinación interinstitucional y la distribución de responsabilidades; y el nivel micro por la capacidad de los actores para interpretar información y tomar decisiones en contextos de incertidumbre. Esta interacción de niveles influye directamente en la forma en que se gestionan los riesgos durante la implementación.</w:t>
      </w:r>
    </w:p>
    <w:p w:rsidR="64C48380" w:rsidP="00944DA3" w:rsidRDefault="64C48380" w14:paraId="0C40B395" w14:textId="21E7FAE7">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 xml:space="preserve">En este contexto, la </w:t>
      </w:r>
      <w:r w:rsidRPr="704E30C7">
        <w:rPr>
          <w:rFonts w:ascii="Aptos" w:hAnsi="Aptos" w:eastAsia="Aptos" w:cs="Aptos"/>
          <w:b/>
          <w:bCs/>
          <w:color w:val="000000" w:themeColor="text1"/>
          <w:sz w:val="22"/>
          <w:szCs w:val="22"/>
        </w:rPr>
        <w:t>normalización de la desviación</w:t>
      </w:r>
      <w:r w:rsidRPr="704E30C7">
        <w:rPr>
          <w:rFonts w:ascii="Aptos" w:hAnsi="Aptos" w:eastAsia="Aptos" w:cs="Aptos"/>
          <w:color w:val="000000" w:themeColor="text1"/>
          <w:sz w:val="22"/>
          <w:szCs w:val="22"/>
        </w:rPr>
        <w:t xml:space="preserve"> adquiere especial relevancia, ya que explica cómo pequeñas irregularidades en la ejecución de los proyectos pueden volverse aceptables cuando no generan consecuencias inmediatas. Con el tiempo, estas prácticas pueden consolidarse como parte del funcionamiento habitual, ampliando los márgenes de tolerancia </w:t>
      </w:r>
      <w:r w:rsidRPr="704E30C7">
        <w:rPr>
          <w:rFonts w:ascii="Aptos" w:hAnsi="Aptos" w:eastAsia="Aptos" w:cs="Aptos"/>
          <w:color w:val="000000" w:themeColor="text1"/>
          <w:sz w:val="22"/>
          <w:szCs w:val="22"/>
        </w:rPr>
        <w:lastRenderedPageBreak/>
        <w:t>frente a incumplimientos o ajustes informales y acumulando vulnerabilidades que pueden afectar el logro de los objetivos del proyecto.</w:t>
      </w:r>
    </w:p>
    <w:p w:rsidRPr="001F7A5B" w:rsidR="001C5435" w:rsidP="001F7A5B" w:rsidRDefault="000F6015" w14:paraId="187EA624" w14:textId="207A042C">
      <w:pPr>
        <w:spacing w:before="240" w:after="240"/>
        <w:jc w:val="center"/>
        <w:rPr>
          <w:rFonts w:ascii="Aptos" w:hAnsi="Aptos" w:eastAsia="Aptos" w:cs="Aptos"/>
          <w:i/>
          <w:iCs/>
          <w:color w:val="000000" w:themeColor="text1"/>
          <w:sz w:val="22"/>
          <w:szCs w:val="22"/>
        </w:rPr>
      </w:pPr>
      <w:r w:rsidRPr="001F7A5B">
        <w:rPr>
          <w:rFonts w:ascii="Aptos" w:hAnsi="Aptos" w:eastAsia="Aptos" w:cs="Aptos"/>
          <w:b/>
          <w:bCs/>
          <w:i/>
          <w:iCs/>
          <w:noProof/>
          <w:color w:val="000000" w:themeColor="text1"/>
          <w:sz w:val="20"/>
          <w:szCs w:val="20"/>
        </w:rPr>
        <w:drawing>
          <wp:anchor distT="0" distB="0" distL="114300" distR="114300" simplePos="0" relativeHeight="251658241" behindDoc="0" locked="0" layoutInCell="1" allowOverlap="1" wp14:anchorId="542CA847" wp14:editId="01008A57">
            <wp:simplePos x="0" y="0"/>
            <wp:positionH relativeFrom="column">
              <wp:posOffset>399701</wp:posOffset>
            </wp:positionH>
            <wp:positionV relativeFrom="paragraph">
              <wp:posOffset>206279</wp:posOffset>
            </wp:positionV>
            <wp:extent cx="5015986" cy="3947456"/>
            <wp:effectExtent l="0" t="0" r="0" b="0"/>
            <wp:wrapNone/>
            <wp:docPr id="4521139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113933" name=""/>
                    <pic:cNvPicPr/>
                  </pic:nvPicPr>
                  <pic:blipFill>
                    <a:blip r:embed="rId11">
                      <a:extLst>
                        <a:ext uri="{28A0092B-C50C-407E-A947-70E740481C1C}">
                          <a14:useLocalDpi xmlns:a14="http://schemas.microsoft.com/office/drawing/2010/main" val="0"/>
                        </a:ext>
                      </a:extLst>
                    </a:blip>
                    <a:stretch>
                      <a:fillRect/>
                    </a:stretch>
                  </pic:blipFill>
                  <pic:spPr>
                    <a:xfrm>
                      <a:off x="0" y="0"/>
                      <a:ext cx="5015986" cy="3947456"/>
                    </a:xfrm>
                    <a:prstGeom prst="rect">
                      <a:avLst/>
                    </a:prstGeom>
                  </pic:spPr>
                </pic:pic>
              </a:graphicData>
            </a:graphic>
            <wp14:sizeRelH relativeFrom="margin">
              <wp14:pctWidth>0</wp14:pctWidth>
            </wp14:sizeRelH>
            <wp14:sizeRelV relativeFrom="margin">
              <wp14:pctHeight>0</wp14:pctHeight>
            </wp14:sizeRelV>
          </wp:anchor>
        </w:drawing>
      </w:r>
      <w:r w:rsidRPr="001F7A5B">
        <w:rPr>
          <w:rFonts w:ascii="Aptos" w:hAnsi="Aptos" w:eastAsia="Aptos" w:cs="Aptos"/>
          <w:b/>
          <w:bCs/>
          <w:i/>
          <w:iCs/>
          <w:color w:val="000000" w:themeColor="text1"/>
          <w:sz w:val="20"/>
          <w:szCs w:val="20"/>
        </w:rPr>
        <w:t>Ilustración 1.</w:t>
      </w:r>
      <w:r w:rsidRPr="001F7A5B">
        <w:rPr>
          <w:rFonts w:ascii="Aptos" w:hAnsi="Aptos" w:eastAsia="Aptos" w:cs="Aptos"/>
          <w:i/>
          <w:iCs/>
          <w:color w:val="000000" w:themeColor="text1"/>
          <w:sz w:val="20"/>
          <w:szCs w:val="20"/>
        </w:rPr>
        <w:t xml:space="preserve"> </w:t>
      </w:r>
      <w:r w:rsidRPr="001F7A5B" w:rsidR="004428B5">
        <w:rPr>
          <w:rFonts w:ascii="Aptos" w:hAnsi="Aptos" w:eastAsia="Aptos" w:cs="Aptos"/>
          <w:i/>
          <w:iCs/>
          <w:color w:val="000000" w:themeColor="text1"/>
          <w:sz w:val="20"/>
          <w:szCs w:val="20"/>
        </w:rPr>
        <w:t xml:space="preserve">Premisas de </w:t>
      </w:r>
      <w:r w:rsidRPr="001F7A5B" w:rsidR="005F3D21">
        <w:rPr>
          <w:rFonts w:ascii="Aptos" w:hAnsi="Aptos" w:eastAsia="Aptos" w:cs="Aptos"/>
          <w:i/>
          <w:iCs/>
          <w:color w:val="000000" w:themeColor="text1"/>
          <w:sz w:val="20"/>
          <w:szCs w:val="20"/>
        </w:rPr>
        <w:t>cómo emerge el riesgo según Vaug</w:t>
      </w:r>
      <w:r w:rsidRPr="001F7A5B" w:rsidR="00C3473E">
        <w:rPr>
          <w:rFonts w:ascii="Aptos" w:hAnsi="Aptos" w:eastAsia="Aptos" w:cs="Aptos"/>
          <w:i/>
          <w:iCs/>
          <w:color w:val="000000" w:themeColor="text1"/>
          <w:sz w:val="20"/>
          <w:szCs w:val="20"/>
        </w:rPr>
        <w:t>han</w:t>
      </w:r>
    </w:p>
    <w:p w:rsidR="001C5435" w:rsidP="00944DA3" w:rsidRDefault="001C5435" w14:paraId="61296DFA" w14:textId="0FE542AF">
      <w:pPr>
        <w:spacing w:before="240" w:after="240"/>
        <w:jc w:val="both"/>
        <w:rPr>
          <w:rFonts w:ascii="Aptos" w:hAnsi="Aptos" w:eastAsia="Aptos" w:cs="Aptos"/>
          <w:color w:val="000000" w:themeColor="text1"/>
          <w:sz w:val="22"/>
          <w:szCs w:val="22"/>
        </w:rPr>
      </w:pPr>
    </w:p>
    <w:p w:rsidR="001C5435" w:rsidP="00944DA3" w:rsidRDefault="001C5435" w14:paraId="2AAA8FFE" w14:textId="77777777">
      <w:pPr>
        <w:spacing w:before="240" w:after="240"/>
        <w:jc w:val="both"/>
        <w:rPr>
          <w:rFonts w:ascii="Aptos" w:hAnsi="Aptos" w:eastAsia="Aptos" w:cs="Aptos"/>
          <w:color w:val="000000" w:themeColor="text1"/>
          <w:sz w:val="22"/>
          <w:szCs w:val="22"/>
        </w:rPr>
      </w:pPr>
    </w:p>
    <w:p w:rsidR="001C5435" w:rsidP="00944DA3" w:rsidRDefault="001C5435" w14:paraId="275F17FE" w14:textId="77777777">
      <w:pPr>
        <w:spacing w:before="240" w:after="240"/>
        <w:jc w:val="both"/>
        <w:rPr>
          <w:rFonts w:ascii="Aptos" w:hAnsi="Aptos" w:eastAsia="Aptos" w:cs="Aptos"/>
          <w:color w:val="000000" w:themeColor="text1"/>
          <w:sz w:val="22"/>
          <w:szCs w:val="22"/>
        </w:rPr>
      </w:pPr>
    </w:p>
    <w:p w:rsidR="001C5435" w:rsidP="00944DA3" w:rsidRDefault="001C5435" w14:paraId="51BC7D89" w14:textId="77777777">
      <w:pPr>
        <w:spacing w:before="240" w:after="240"/>
        <w:jc w:val="both"/>
        <w:rPr>
          <w:rFonts w:ascii="Aptos" w:hAnsi="Aptos" w:eastAsia="Aptos" w:cs="Aptos"/>
          <w:color w:val="000000" w:themeColor="text1"/>
          <w:sz w:val="22"/>
          <w:szCs w:val="22"/>
        </w:rPr>
      </w:pPr>
    </w:p>
    <w:p w:rsidR="001C5435" w:rsidP="00944DA3" w:rsidRDefault="001C5435" w14:paraId="027E9985" w14:textId="77777777">
      <w:pPr>
        <w:spacing w:before="240" w:after="240"/>
        <w:jc w:val="both"/>
        <w:rPr>
          <w:rFonts w:ascii="Aptos" w:hAnsi="Aptos" w:eastAsia="Aptos" w:cs="Aptos"/>
          <w:color w:val="000000" w:themeColor="text1"/>
          <w:sz w:val="22"/>
          <w:szCs w:val="22"/>
        </w:rPr>
      </w:pPr>
    </w:p>
    <w:p w:rsidR="001C5435" w:rsidP="00944DA3" w:rsidRDefault="001C5435" w14:paraId="62EA8889" w14:textId="77777777">
      <w:pPr>
        <w:spacing w:before="240" w:after="240"/>
        <w:jc w:val="both"/>
        <w:rPr>
          <w:rFonts w:ascii="Aptos" w:hAnsi="Aptos" w:eastAsia="Aptos" w:cs="Aptos"/>
          <w:color w:val="000000" w:themeColor="text1"/>
          <w:sz w:val="22"/>
          <w:szCs w:val="22"/>
        </w:rPr>
      </w:pPr>
    </w:p>
    <w:p w:rsidR="001C5435" w:rsidP="00944DA3" w:rsidRDefault="001C5435" w14:paraId="386A1B77" w14:textId="77777777">
      <w:pPr>
        <w:spacing w:before="240" w:after="240"/>
        <w:jc w:val="both"/>
        <w:rPr>
          <w:rFonts w:ascii="Aptos" w:hAnsi="Aptos" w:eastAsia="Aptos" w:cs="Aptos"/>
          <w:color w:val="000000" w:themeColor="text1"/>
          <w:sz w:val="22"/>
          <w:szCs w:val="22"/>
        </w:rPr>
      </w:pPr>
    </w:p>
    <w:p w:rsidR="001C5435" w:rsidP="00944DA3" w:rsidRDefault="001C5435" w14:paraId="4AE01987" w14:textId="77777777">
      <w:pPr>
        <w:spacing w:before="240" w:after="240"/>
        <w:jc w:val="both"/>
        <w:rPr>
          <w:rFonts w:ascii="Aptos" w:hAnsi="Aptos" w:eastAsia="Aptos" w:cs="Aptos"/>
          <w:color w:val="000000" w:themeColor="text1"/>
          <w:sz w:val="22"/>
          <w:szCs w:val="22"/>
        </w:rPr>
      </w:pPr>
    </w:p>
    <w:p w:rsidR="001C5435" w:rsidP="00944DA3" w:rsidRDefault="001C5435" w14:paraId="43542C1C" w14:textId="77777777">
      <w:pPr>
        <w:spacing w:before="240" w:after="240"/>
        <w:jc w:val="both"/>
        <w:rPr>
          <w:rFonts w:ascii="Aptos" w:hAnsi="Aptos" w:eastAsia="Aptos" w:cs="Aptos"/>
          <w:color w:val="000000" w:themeColor="text1"/>
          <w:sz w:val="22"/>
          <w:szCs w:val="22"/>
        </w:rPr>
      </w:pPr>
    </w:p>
    <w:p w:rsidR="001C5435" w:rsidP="00944DA3" w:rsidRDefault="001C5435" w14:paraId="4C659A99" w14:textId="77777777">
      <w:pPr>
        <w:spacing w:before="240" w:after="240"/>
        <w:jc w:val="both"/>
        <w:rPr>
          <w:rFonts w:ascii="Aptos" w:hAnsi="Aptos" w:eastAsia="Aptos" w:cs="Aptos"/>
          <w:color w:val="000000" w:themeColor="text1"/>
          <w:sz w:val="22"/>
          <w:szCs w:val="22"/>
        </w:rPr>
      </w:pPr>
    </w:p>
    <w:p w:rsidR="001C5435" w:rsidP="00944DA3" w:rsidRDefault="001C5435" w14:paraId="1E59CC29" w14:textId="77777777">
      <w:pPr>
        <w:spacing w:before="240" w:after="240"/>
        <w:jc w:val="both"/>
        <w:rPr>
          <w:rFonts w:ascii="Aptos" w:hAnsi="Aptos" w:eastAsia="Aptos" w:cs="Aptos"/>
          <w:color w:val="000000" w:themeColor="text1"/>
          <w:sz w:val="22"/>
          <w:szCs w:val="22"/>
        </w:rPr>
      </w:pPr>
    </w:p>
    <w:p w:rsidRPr="001F7A5B" w:rsidR="001C5435" w:rsidP="001F7A5B" w:rsidRDefault="00C3473E" w14:paraId="52E30F22" w14:textId="3E9E1DA5">
      <w:pPr>
        <w:spacing w:before="240" w:after="240"/>
        <w:jc w:val="center"/>
        <w:rPr>
          <w:rFonts w:ascii="Aptos" w:hAnsi="Aptos" w:eastAsia="Aptos" w:cs="Aptos"/>
          <w:i/>
          <w:iCs/>
          <w:color w:val="000000" w:themeColor="text1"/>
          <w:sz w:val="20"/>
          <w:szCs w:val="20"/>
        </w:rPr>
      </w:pPr>
      <w:r w:rsidRPr="001F7A5B">
        <w:rPr>
          <w:rFonts w:ascii="Aptos" w:hAnsi="Aptos" w:eastAsia="Aptos" w:cs="Aptos"/>
          <w:i/>
          <w:iCs/>
          <w:color w:val="000000" w:themeColor="text1"/>
          <w:sz w:val="20"/>
          <w:szCs w:val="20"/>
        </w:rPr>
        <w:t>Fuente: Elaboración propia.</w:t>
      </w:r>
    </w:p>
    <w:p w:rsidR="64C48380" w:rsidP="00944DA3" w:rsidRDefault="64C48380" w14:paraId="3BF35046" w14:textId="47E459E7">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 xml:space="preserve">De manera complementaria, Vaughan (1999) propone entender el </w:t>
      </w:r>
      <w:r w:rsidRPr="704E30C7">
        <w:rPr>
          <w:rFonts w:ascii="Aptos" w:hAnsi="Aptos" w:eastAsia="Aptos" w:cs="Aptos"/>
          <w:b/>
          <w:bCs/>
          <w:color w:val="000000" w:themeColor="text1"/>
          <w:sz w:val="22"/>
          <w:szCs w:val="22"/>
        </w:rPr>
        <w:t>error, la conducta indebida y el desastre como un continuo estructural</w:t>
      </w:r>
      <w:r w:rsidRPr="704E30C7">
        <w:rPr>
          <w:rFonts w:ascii="Aptos" w:hAnsi="Aptos" w:eastAsia="Aptos" w:cs="Aptos"/>
          <w:color w:val="000000" w:themeColor="text1"/>
          <w:sz w:val="22"/>
          <w:szCs w:val="22"/>
        </w:rPr>
        <w:t>, en el que las fallas operativas no deben analizarse de forma aislada, sino como resultado de procesos acumulativos. En la implementación de proyectos de gobierno, esto implica que los errores no son únicamente atribuibles a los ejecutores, sino que reflejan condiciones institucionales, organizacionales y de diseño que facilitan su aparición y escalamiento.</w:t>
      </w:r>
    </w:p>
    <w:p w:rsidR="64C48380" w:rsidP="00944DA3" w:rsidRDefault="64C48380" w14:paraId="272937EC" w14:textId="053471A2">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Las implicaciones de este enfoque son particularmente relevantes para la gestión de proyectos públicos, ya que plantean la necesidad de orientar las estrategias de gestión del riesgo hacia el fortalecimiento de la coordinación institucional, la mejora en la circulación de información y la revisión permanente de los procesos de implementación. Esto implica no solo establecer mecanismos de control, sino también desarrollar capacidades institucionales para identificar desviaciones tempranas, anticipar efectos no previstos y ajustar las estrategias de ejecución en función de las condiciones del contexto.</w:t>
      </w:r>
    </w:p>
    <w:p w:rsidRPr="006C522E" w:rsidR="6724CA95" w:rsidP="006C522E" w:rsidRDefault="64C48380" w14:paraId="7E734CF5" w14:textId="084FD24F">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lastRenderedPageBreak/>
        <w:t>En conjunto, el aporte de Vaughan (1999) permite comprender que el riesgo en proyectos de gobierno no solo proviene de factores externos o fallas individuales, sino que se construye dentro de las propias dinámicas institucionales de implementación. Esta perspectiva resulta clave para analizar la ejecución de políticas y programas, en la medida en que evidencia la necesidad de adoptar enfoques sistémicos que permitan gestionar de manera integral las vulnerabilidades inherentes a los procesos organizacionales del Estado.</w:t>
      </w:r>
    </w:p>
    <w:p w:rsidR="6724CA95" w:rsidP="6724CA95" w:rsidRDefault="505AB06C" w14:paraId="281031DF" w14:textId="2B13DE92">
      <w:pPr>
        <w:spacing w:after="0"/>
        <w:ind w:right="-142"/>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Desde esta perspectiva, el análisis del riesgo organizacional exige ir más allá de los instrumentos formales de control y considerar cómo los marcos institucionales influyen en la forma en que las organizaciones interpretan problemas, priorizan objetivos y responden a señales de alerta. </w:t>
      </w:r>
      <w:r w:rsidRPr="53A6DE65" w:rsidR="2C607C9A">
        <w:rPr>
          <w:rFonts w:ascii="Aptos" w:hAnsi="Aptos" w:eastAsia="Aptos" w:cs="Aptos"/>
          <w:color w:val="000000" w:themeColor="text1"/>
          <w:sz w:val="22"/>
          <w:szCs w:val="22"/>
        </w:rPr>
        <w:t>En la gestión pública</w:t>
      </w:r>
      <w:r w:rsidRPr="53A6DE65">
        <w:rPr>
          <w:rFonts w:ascii="Aptos" w:hAnsi="Aptos" w:eastAsia="Aptos" w:cs="Aptos"/>
          <w:color w:val="000000" w:themeColor="text1"/>
          <w:sz w:val="22"/>
          <w:szCs w:val="22"/>
        </w:rPr>
        <w:t xml:space="preserve"> esto implica reconocer que la prevención de fallas no depende únicamente de reglas o supervisión, sino también de la capacidad institucional para revisar de manera permanente sus propios supuestos, prácticas y procesos de decisión. En este sentido, el aporte de Vaughan (1999) radica en plantear la gestión del riesgo como un proceso de aprendizaje y ajuste institucional continuo.</w:t>
      </w:r>
    </w:p>
    <w:p w:rsidRPr="006C522E" w:rsidR="006C522E" w:rsidP="6724CA95" w:rsidRDefault="006C522E" w14:paraId="3C26FD96" w14:textId="77777777">
      <w:pPr>
        <w:spacing w:after="0"/>
        <w:ind w:right="-142"/>
        <w:jc w:val="both"/>
        <w:rPr>
          <w:rFonts w:ascii="Aptos" w:hAnsi="Aptos" w:eastAsia="Aptos" w:cs="Aptos"/>
          <w:color w:val="000000" w:themeColor="text1"/>
          <w:sz w:val="22"/>
          <w:szCs w:val="22"/>
        </w:rPr>
      </w:pPr>
    </w:p>
    <w:p w:rsidR="5B6986F8" w:rsidP="6724CA95" w:rsidRDefault="5B6986F8" w14:paraId="0E93080A" w14:textId="35009867">
      <w:pPr>
        <w:spacing w:after="0"/>
        <w:ind w:right="-142"/>
        <w:jc w:val="both"/>
        <w:rPr>
          <w:rFonts w:ascii="Aptos" w:hAnsi="Aptos" w:eastAsia="Aptos" w:cs="Aptos"/>
          <w:color w:val="000000" w:themeColor="text1"/>
          <w:sz w:val="22"/>
          <w:szCs w:val="22"/>
        </w:rPr>
      </w:pPr>
      <w:r w:rsidRPr="6724CA95">
        <w:rPr>
          <w:rFonts w:ascii="Aptos" w:hAnsi="Aptos" w:eastAsia="Aptos" w:cs="Aptos"/>
          <w:color w:val="000000" w:themeColor="text1"/>
          <w:sz w:val="22"/>
          <w:szCs w:val="22"/>
        </w:rPr>
        <w:t>Desde la perspectiva de la cultura tecnológica, Bijker (2008) sostiene que los sistemas tecnológicos solo pueden comprenderse plenamente cuando se analizan en relación con las instituciones sociales en las que operan. En sociedades altamente dependientes de infraestructuras tecnológicas, la vulnerabilidad no se explica únicamente por fallas técnicas, sino por la interacción entre tecnologías, estructuras organizacionales y marcos institucionales que influyen en la forma en que se interpretan y gestionan los riesgos. Para el análisis de políticas públicas, esta perspectiva resulta fundamental, ya que los programas estatales dependen cada vez más de sistemas tecnológicos complejos cuya estabilidad puede verse afectada tanto por condiciones técnicas como por factores institucionales.</w:t>
      </w:r>
    </w:p>
    <w:p w:rsidR="5B6986F8" w:rsidP="00944DA3" w:rsidRDefault="5B6986F8" w14:paraId="0289D547" w14:textId="4CFF8F0F">
      <w:pPr>
        <w:spacing w:before="240" w:after="240"/>
        <w:jc w:val="both"/>
        <w:rPr>
          <w:rFonts w:ascii="Aptos" w:hAnsi="Aptos" w:eastAsia="Aptos" w:cs="Aptos"/>
          <w:color w:val="000000" w:themeColor="text1"/>
          <w:sz w:val="22"/>
          <w:szCs w:val="22"/>
        </w:rPr>
      </w:pPr>
      <w:r w:rsidRPr="6724CA95">
        <w:rPr>
          <w:rFonts w:ascii="Aptos" w:hAnsi="Aptos" w:eastAsia="Aptos" w:cs="Aptos"/>
          <w:color w:val="000000" w:themeColor="text1"/>
          <w:sz w:val="22"/>
          <w:szCs w:val="22"/>
        </w:rPr>
        <w:t>En este contexto, los sistemas altamente interconectados presentan mayores niveles de vulnerabilidad debido a que pequeñas fallas pueden propagarse rápidamente y reducir la capacidad de anticipar o gestionar perturbaciones externas (Bijker, 2008). Asimismo, la evaluación del riesgo dentro de estos sistemas está influida por dinámicas organizacionales y culturales que condicionan la interpretación de la información y las decisiones institucionales. La noción de “flexibilidad interpretativa” señala que los mismos datos técnicos pueden ser evaluados de manera distinta según los marcos profesionales, organizacionales o políticos desde los cuales se analicen.</w:t>
      </w:r>
    </w:p>
    <w:p w:rsidR="42A021A9" w:rsidP="53A6DE65" w:rsidRDefault="5B6986F8" w14:paraId="7A5C8C66" w14:textId="600BE92C">
      <w:pPr>
        <w:spacing w:after="0"/>
        <w:ind w:right="-142"/>
        <w:jc w:val="both"/>
        <w:rPr>
          <w:sz w:val="22"/>
          <w:szCs w:val="22"/>
        </w:rPr>
      </w:pPr>
      <w:r w:rsidRPr="6724CA95">
        <w:rPr>
          <w:rFonts w:ascii="Aptos" w:hAnsi="Aptos" w:eastAsia="Aptos" w:cs="Aptos"/>
          <w:color w:val="000000" w:themeColor="text1"/>
          <w:sz w:val="22"/>
          <w:szCs w:val="22"/>
        </w:rPr>
        <w:t>Desde la perspectiva de la gestión pública, estas aproximaciones permiten comprender que el riesgo y la vulnerabilidad no constituyen únicamente problemas técnicos, sino fenómenos condicionados por las estructuras institucionales y por los procesos de toma de decisiones que orientan la formulación e implementación de políticas públicas. En consecuencia, la gestión del riesgo en programas estatales requiere incorporar una mirada sistémica que considere tanto las características de las infraestructuras tecnológicas como las dinámicas organizacionales y regulatorias que influyen en su funcionamiento (Bijker, 2008).</w:t>
      </w:r>
    </w:p>
    <w:p w:rsidR="53A6DE65" w:rsidP="53A6DE65" w:rsidRDefault="53A6DE65" w14:paraId="54F43115" w14:textId="55FDEA65">
      <w:pPr>
        <w:spacing w:after="0"/>
        <w:ind w:right="-142"/>
        <w:jc w:val="both"/>
        <w:rPr>
          <w:sz w:val="22"/>
          <w:szCs w:val="22"/>
        </w:rPr>
      </w:pPr>
    </w:p>
    <w:p w:rsidR="7CA1E626" w:rsidP="00944DA3" w:rsidRDefault="7CA1E626" w14:paraId="404820B3" w14:textId="26E774D4">
      <w:pPr>
        <w:spacing w:after="0"/>
        <w:ind w:right="-142"/>
        <w:jc w:val="both"/>
        <w:rPr>
          <w:rFonts w:ascii="Aptos" w:hAnsi="Aptos" w:eastAsia="Aptos" w:cs="Aptos"/>
          <w:color w:val="000000" w:themeColor="text1"/>
          <w:sz w:val="22"/>
          <w:szCs w:val="22"/>
        </w:rPr>
      </w:pPr>
      <w:r w:rsidRPr="53A6DE65">
        <w:rPr>
          <w:rFonts w:ascii="Aptos" w:hAnsi="Aptos" w:eastAsia="Aptos" w:cs="Aptos"/>
          <w:color w:val="000000" w:themeColor="text1"/>
          <w:sz w:val="22"/>
          <w:szCs w:val="22"/>
        </w:rPr>
        <w:t xml:space="preserve">Desde </w:t>
      </w:r>
      <w:r w:rsidR="008935C7">
        <w:rPr>
          <w:rFonts w:ascii="Aptos" w:hAnsi="Aptos" w:eastAsia="Aptos" w:cs="Aptos"/>
          <w:color w:val="000000" w:themeColor="text1"/>
          <w:sz w:val="22"/>
          <w:szCs w:val="22"/>
        </w:rPr>
        <w:t>un enfoque</w:t>
      </w:r>
      <w:r w:rsidRPr="53A6DE65">
        <w:rPr>
          <w:rFonts w:ascii="Aptos" w:hAnsi="Aptos" w:eastAsia="Aptos" w:cs="Aptos"/>
          <w:color w:val="000000" w:themeColor="text1"/>
          <w:sz w:val="22"/>
          <w:szCs w:val="22"/>
        </w:rPr>
        <w:t xml:space="preserve"> complementari</w:t>
      </w:r>
      <w:r w:rsidR="008935C7">
        <w:rPr>
          <w:rFonts w:ascii="Aptos" w:hAnsi="Aptos" w:eastAsia="Aptos" w:cs="Aptos"/>
          <w:color w:val="000000" w:themeColor="text1"/>
          <w:sz w:val="22"/>
          <w:szCs w:val="22"/>
        </w:rPr>
        <w:t>o</w:t>
      </w:r>
      <w:r w:rsidRPr="53A6DE65">
        <w:rPr>
          <w:rFonts w:ascii="Aptos" w:hAnsi="Aptos" w:eastAsia="Aptos" w:cs="Aptos"/>
          <w:color w:val="000000" w:themeColor="text1"/>
          <w:sz w:val="22"/>
          <w:szCs w:val="22"/>
        </w:rPr>
        <w:t xml:space="preserve">, el riesgo también ha sido entendido como una construcción social vinculada a las dinámicas de la modernidad y a los marcos institucionales que orientan su interpretación. Beck (1996) plantea que los riesgos son el resultado de procesos sociales y productivos propios de las sociedades contemporáneas, mientras que Douglas (1983) sostiene que su percepción está mediada por estructuras culturales e institucionales que definen qué se considera peligroso y qué no. En esta misma línea, Gonnet (2011) señala que la identificación y caracterización del riesgo no puede separarse de los contextos organizacionales en los que se produce, ya que los modos de observación reflejan valores, prioridades y supuestos. En </w:t>
      </w:r>
      <w:r w:rsidRPr="53A6DE65" w:rsidR="28BA110E">
        <w:rPr>
          <w:rFonts w:ascii="Aptos" w:hAnsi="Aptos" w:eastAsia="Aptos" w:cs="Aptos"/>
          <w:color w:val="000000" w:themeColor="text1"/>
          <w:sz w:val="22"/>
          <w:szCs w:val="22"/>
        </w:rPr>
        <w:t>la formulación de decisiones institucionales</w:t>
      </w:r>
      <w:r w:rsidRPr="53A6DE65">
        <w:rPr>
          <w:rFonts w:ascii="Aptos" w:hAnsi="Aptos" w:eastAsia="Aptos" w:cs="Aptos"/>
          <w:color w:val="000000" w:themeColor="text1"/>
          <w:sz w:val="22"/>
          <w:szCs w:val="22"/>
        </w:rPr>
        <w:t>, esta perspectiva implica reconocer que el riesgo no es una realidad objetiva independiente, sino un fenómeno interpretado y gestionado a partir de marcos</w:t>
      </w:r>
      <w:r w:rsidRPr="53A6DE65" w:rsidR="2D4E58FA">
        <w:rPr>
          <w:rFonts w:ascii="Aptos" w:hAnsi="Aptos" w:eastAsia="Aptos" w:cs="Aptos"/>
          <w:color w:val="000000" w:themeColor="text1"/>
          <w:sz w:val="22"/>
          <w:szCs w:val="22"/>
        </w:rPr>
        <w:t xml:space="preserve"> </w:t>
      </w:r>
      <w:r w:rsidRPr="53A6DE65">
        <w:rPr>
          <w:rFonts w:ascii="Aptos" w:hAnsi="Aptos" w:eastAsia="Aptos" w:cs="Aptos"/>
          <w:color w:val="000000" w:themeColor="text1"/>
          <w:sz w:val="22"/>
          <w:szCs w:val="22"/>
        </w:rPr>
        <w:t>que influyen en la toma de decisiones, la priorización de problemas y el diseño de intervenciones estatales.</w:t>
      </w:r>
    </w:p>
    <w:p w:rsidR="008946DA" w:rsidP="006C522E" w:rsidRDefault="008946DA" w14:paraId="05391841" w14:textId="77777777">
      <w:pPr>
        <w:spacing w:after="0"/>
        <w:ind w:right="-142"/>
        <w:jc w:val="both"/>
        <w:rPr>
          <w:rFonts w:ascii="Aptos" w:hAnsi="Aptos" w:eastAsia="Aptos" w:cs="Aptos"/>
          <w:color w:val="000000" w:themeColor="text1"/>
          <w:sz w:val="22"/>
          <w:szCs w:val="22"/>
        </w:rPr>
      </w:pPr>
    </w:p>
    <w:p w:rsidRPr="006C522E" w:rsidR="67723B5C" w:rsidP="006C522E" w:rsidRDefault="67723B5C" w14:paraId="4DBE1C3F" w14:textId="18D6D86A">
      <w:pPr>
        <w:spacing w:after="0"/>
        <w:ind w:right="-142"/>
        <w:jc w:val="both"/>
        <w:rPr>
          <w:rFonts w:eastAsiaTheme="minorEastAsia"/>
          <w:sz w:val="22"/>
          <w:szCs w:val="22"/>
        </w:rPr>
      </w:pPr>
      <w:r w:rsidRPr="704E30C7">
        <w:rPr>
          <w:rFonts w:ascii="Aptos" w:hAnsi="Aptos" w:eastAsia="Aptos" w:cs="Aptos"/>
          <w:color w:val="000000" w:themeColor="text1"/>
          <w:sz w:val="22"/>
          <w:szCs w:val="22"/>
        </w:rPr>
        <w:t>La literatura evidencia que el riesgo organizacional es inherente a todo tipo de organizaciones, incluyendo el sector salud, donde la cultura de seguridad se configura como un conjunto de valores, prácticas y comportamientos orientados a la prevención del daño y al aprendizaje continuo. Este enfoque promueve entornos institucionales basados en la confianza y el reporte de incidentes, con el fin de mejorar la calidad de la atención y reducir eventos adversos. En esta línea, Vogus, Sutcliffe y Weick (2010) señalan que la seguridad en salud debe entenderse como una construcción dinámica sustentada en principios de las Organizaciones de Alta Confiabilidad (HRO), lo cual implica desarrollar capacidades para anticipar fallas, gestionar lo inesperado y priorizar el conocimiento experto. La relevancia de este enfoque se evidencia en hallazgos como los del Instituto de Medicina, que identificó el error médico como una de las principales causas de mortalidad en Estados Unidos (IOM, 1999).</w:t>
      </w:r>
    </w:p>
    <w:p w:rsidRPr="0053072C" w:rsidR="00DC5E58" w:rsidP="0053072C" w:rsidRDefault="67723B5C" w14:paraId="3720D6CF" w14:textId="6E0B82B1">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Desde esta perspectiva, la gestión del riesgo en sistemas de salud exige un enfoque integral que articule liderazgo, seguridad psicológica, mejora continua y monitoreo permanente de las operaciones, elementos clave para fortalecer la capacidad institucional frente a fallas potenciales. En escenarios donde se ejecutan programas sanitarios y se prestan servicios de interés colectivo, la gestión del riesgo adquiere especial relevancia, ya que involucra factores estructurales, operativos y humanos que inciden directamente en la continuidad y calidad del servicio. En este sentido, resulta necesario adoptar marcos normativos y sistemas de gestión que integren estándares internacionales —como ISO 31000, ISO/IEC 27001 y COSO ERM— junto con lineamientos promovidos por organismos como la OIT y la OMS, orientados a fortalecer la seguridad, la calidad y la sostenibilidad de las intervenciones institucionales dirigidas a la población.</w:t>
      </w:r>
    </w:p>
    <w:p w:rsidRPr="000D5982" w:rsidR="48515600" w:rsidRDefault="184D6550" w14:paraId="31A9C362" w14:textId="1FA686C8">
      <w:pPr>
        <w:spacing w:after="0"/>
        <w:ind w:right="-142"/>
        <w:jc w:val="both"/>
        <w:rPr>
          <w:rFonts w:ascii="Aptos" w:hAnsi="Aptos" w:eastAsia="Aptos" w:cs="Aptos"/>
          <w:color w:val="000000" w:themeColor="text1"/>
          <w:sz w:val="22"/>
          <w:szCs w:val="22"/>
        </w:rPr>
      </w:pPr>
      <w:r w:rsidRPr="287413BE">
        <w:rPr>
          <w:rFonts w:eastAsiaTheme="minorEastAsia"/>
          <w:sz w:val="22"/>
          <w:szCs w:val="22"/>
        </w:rPr>
        <w:t>James Reason, e</w:t>
      </w:r>
      <w:r w:rsidRPr="287413BE" w:rsidR="7A89D269">
        <w:rPr>
          <w:rFonts w:eastAsiaTheme="minorEastAsia"/>
          <w:sz w:val="22"/>
          <w:szCs w:val="22"/>
        </w:rPr>
        <w:t>n el libro “</w:t>
      </w:r>
      <w:r w:rsidRPr="287413BE" w:rsidR="7A89D269">
        <w:rPr>
          <w:rFonts w:eastAsiaTheme="minorEastAsia"/>
          <w:i/>
          <w:iCs/>
          <w:sz w:val="22"/>
          <w:szCs w:val="22"/>
        </w:rPr>
        <w:t>Human Error</w:t>
      </w:r>
      <w:r w:rsidRPr="287413BE" w:rsidR="7A89D269">
        <w:rPr>
          <w:rFonts w:eastAsiaTheme="minorEastAsia"/>
          <w:sz w:val="22"/>
          <w:szCs w:val="22"/>
        </w:rPr>
        <w:t>”</w:t>
      </w:r>
      <w:r w:rsidRPr="287413BE" w:rsidR="3135D605">
        <w:rPr>
          <w:rFonts w:eastAsiaTheme="minorEastAsia"/>
          <w:sz w:val="22"/>
          <w:szCs w:val="22"/>
        </w:rPr>
        <w:t xml:space="preserve">, </w:t>
      </w:r>
      <w:r w:rsidRPr="287413BE" w:rsidR="7A89D269">
        <w:rPr>
          <w:rFonts w:eastAsiaTheme="minorEastAsia"/>
          <w:sz w:val="22"/>
          <w:szCs w:val="22"/>
        </w:rPr>
        <w:t xml:space="preserve">nos plantea que </w:t>
      </w:r>
      <w:r w:rsidRPr="00944DA3" w:rsidR="7B159B62">
        <w:rPr>
          <w:rFonts w:eastAsiaTheme="minorEastAsia"/>
          <w:sz w:val="22"/>
          <w:szCs w:val="22"/>
        </w:rPr>
        <w:t>e</w:t>
      </w:r>
      <w:r w:rsidRPr="00944DA3" w:rsidR="34FA536B">
        <w:rPr>
          <w:rFonts w:eastAsiaTheme="minorEastAsia"/>
          <w:sz w:val="22"/>
          <w:szCs w:val="22"/>
        </w:rPr>
        <w:t xml:space="preserve">l error humano no debe interpretarse como la causa última de los eventos adversos, sino como la manifestación visible de fallas latentes presentes en el diseño y funcionamiento de los sistemas organizacionales. Desde esta perspectiva, los errores individuales emergen cuando múltiples debilidades institucionales relacionadas con la </w:t>
      </w:r>
      <w:r w:rsidRPr="00944DA3" w:rsidR="34FA536B">
        <w:rPr>
          <w:rFonts w:eastAsiaTheme="minorEastAsia"/>
          <w:sz w:val="22"/>
          <w:szCs w:val="22"/>
        </w:rPr>
        <w:lastRenderedPageBreak/>
        <w:t>organización del trabajo, la comunicación, la formación del personal o las condiciones operativas</w:t>
      </w:r>
      <w:r w:rsidRPr="287413BE" w:rsidR="53BEA30F">
        <w:rPr>
          <w:rFonts w:eastAsiaTheme="minorEastAsia"/>
          <w:sz w:val="22"/>
          <w:szCs w:val="22"/>
        </w:rPr>
        <w:t xml:space="preserve"> </w:t>
      </w:r>
      <w:r w:rsidRPr="00944DA3" w:rsidR="34FA536B">
        <w:rPr>
          <w:rFonts w:eastAsiaTheme="minorEastAsia"/>
          <w:sz w:val="22"/>
          <w:szCs w:val="22"/>
        </w:rPr>
        <w:t>coinciden y atraviesan las barreras de control diseñadas para prevenir incidentes.</w:t>
      </w:r>
    </w:p>
    <w:p w:rsidR="48515600" w:rsidP="00944DA3" w:rsidRDefault="34FA536B" w14:paraId="3D0A941D" w14:textId="17232E2E">
      <w:pPr>
        <w:spacing w:before="240" w:after="240"/>
        <w:jc w:val="both"/>
        <w:rPr>
          <w:rFonts w:ascii="Aptos" w:hAnsi="Aptos" w:eastAsia="Aptos" w:cs="Aptos"/>
          <w:color w:val="000000" w:themeColor="text1"/>
          <w:sz w:val="22"/>
          <w:szCs w:val="22"/>
        </w:rPr>
      </w:pPr>
      <w:r w:rsidRPr="287413BE">
        <w:rPr>
          <w:rFonts w:ascii="Aptos" w:hAnsi="Aptos" w:eastAsia="Aptos" w:cs="Aptos"/>
          <w:color w:val="000000" w:themeColor="text1"/>
          <w:sz w:val="22"/>
          <w:szCs w:val="22"/>
        </w:rPr>
        <w:t>Este planteamiento resulta especialmente relevante para el análisis de la implementación de políticas públicas, en la medida en que los programas estatales suelen ejecutarse en entornos organizacionales complejos donde intervienen múltiples actores, niveles de decisión y marcos regulatorios. En estos contextos, los errores operativos que se presentan durante la ejecución de programas no deben analizarse únicamente como fallas individuales de los funcionarios responsables, sino como indicadores de posibles debilidades en el diseño institucional, en los mecanismos de coordinación o en los sistemas de supervisión.</w:t>
      </w:r>
    </w:p>
    <w:p w:rsidR="48515600" w:rsidP="00944DA3" w:rsidRDefault="34FA536B" w14:paraId="2CFD4A09" w14:textId="3F9450E3">
      <w:pPr>
        <w:spacing w:before="240" w:after="240"/>
        <w:jc w:val="both"/>
        <w:rPr>
          <w:rFonts w:ascii="Aptos" w:hAnsi="Aptos" w:eastAsia="Aptos" w:cs="Aptos"/>
          <w:color w:val="000000" w:themeColor="text1"/>
          <w:sz w:val="22"/>
          <w:szCs w:val="22"/>
        </w:rPr>
      </w:pPr>
      <w:r w:rsidRPr="287413BE">
        <w:rPr>
          <w:rFonts w:ascii="Aptos" w:hAnsi="Aptos" w:eastAsia="Aptos" w:cs="Aptos"/>
          <w:color w:val="000000" w:themeColor="text1"/>
          <w:sz w:val="22"/>
          <w:szCs w:val="22"/>
        </w:rPr>
        <w:t>Desde una perspectiva de gestión pública, el enfoque sistémico del error humano sugiere que las estrategias de prevención deben orientarse hacia el fortalecimiento de las condiciones organizacionales que permiten detectar y corregir desviaciones antes de que se conviertan en fallas críticas. Esto implica promover sistemas institucionales de aprendizaje organizacional, mecanismos de reporte de incidentes y procesos de revisión continua de los procedimientos de implementación.</w:t>
      </w:r>
    </w:p>
    <w:p w:rsidR="48515600" w:rsidP="287413BE" w:rsidRDefault="34FA536B" w14:paraId="7133BD84" w14:textId="5725DC8B">
      <w:pPr>
        <w:spacing w:after="0"/>
        <w:ind w:right="-142"/>
        <w:jc w:val="both"/>
        <w:rPr>
          <w:rFonts w:eastAsiaTheme="minorEastAsia"/>
          <w:sz w:val="22"/>
          <w:szCs w:val="22"/>
        </w:rPr>
      </w:pPr>
      <w:r w:rsidRPr="287413BE">
        <w:rPr>
          <w:rFonts w:ascii="Aptos" w:hAnsi="Aptos" w:eastAsia="Aptos" w:cs="Aptos"/>
          <w:color w:val="000000" w:themeColor="text1"/>
          <w:sz w:val="22"/>
          <w:szCs w:val="22"/>
        </w:rPr>
        <w:t>En consecuencia, el análisis del error humano complementa el concepto de normalización de la desviación desarrollado por Vaughan (1999). Mientras este último explica cómo las organizaciones pueden incorporar gradualmente prácticas riesgosas dentro de su funcionamiento cotidiano, el enfoque de Reason permite comprender cómo dichas condiciones estructurales se manifiestan finalmente en errores operativos durante la ejecución de las actividades institucionales.</w:t>
      </w:r>
    </w:p>
    <w:p w:rsidR="000D5982" w:rsidP="000D5982" w:rsidRDefault="7A89D269" w14:paraId="6455451F" w14:textId="77777777">
      <w:pPr>
        <w:spacing w:after="0"/>
        <w:ind w:right="-142"/>
        <w:jc w:val="both"/>
        <w:rPr>
          <w:rFonts w:eastAsiaTheme="minorEastAsia"/>
          <w:sz w:val="22"/>
          <w:szCs w:val="22"/>
        </w:rPr>
      </w:pPr>
      <w:r w:rsidRPr="39F263E2">
        <w:rPr>
          <w:rFonts w:eastAsiaTheme="minorEastAsia"/>
          <w:sz w:val="22"/>
          <w:szCs w:val="22"/>
        </w:rPr>
        <w:t xml:space="preserve"> </w:t>
      </w:r>
    </w:p>
    <w:p w:rsidRPr="000D5982" w:rsidR="3666973F" w:rsidP="000D5982" w:rsidRDefault="000D5982" w14:paraId="1AABACAA" w14:textId="2B187535">
      <w:pPr>
        <w:spacing w:after="0"/>
        <w:ind w:right="-142"/>
        <w:jc w:val="both"/>
        <w:rPr>
          <w:rFonts w:eastAsiaTheme="minorEastAsia"/>
          <w:sz w:val="22"/>
          <w:szCs w:val="22"/>
        </w:rPr>
      </w:pPr>
      <w:r>
        <w:rPr>
          <w:rFonts w:ascii="Aptos" w:hAnsi="Aptos" w:eastAsia="Aptos" w:cs="Aptos"/>
          <w:color w:val="000000" w:themeColor="text1"/>
          <w:sz w:val="22"/>
          <w:szCs w:val="22"/>
        </w:rPr>
        <w:t>E</w:t>
      </w:r>
      <w:r w:rsidRPr="704E30C7" w:rsidR="3666973F">
        <w:rPr>
          <w:rFonts w:ascii="Aptos" w:hAnsi="Aptos" w:eastAsia="Aptos" w:cs="Aptos"/>
          <w:color w:val="000000" w:themeColor="text1"/>
          <w:sz w:val="22"/>
          <w:szCs w:val="22"/>
        </w:rPr>
        <w:t>n síntesis, el riesgo organizacional en la implementación de proyectos de gobierno debe entenderse como un fenómeno estructural que emerge de la interacción entre dinámicas institucionales, organizacionales y contextuales. Los enfoques revisados evidencian que las fallas no responden únicamente a decisiones individuales, sino a condiciones propias de los sistemas de ejecución, como la fragmentación de la información, las presiones por resultados y la adaptación progresiva de las prácticas. En este sentido, la gestión del riesgo requiere una mirada sistémica que permita identificar y comprender las vulnerabilidades que se configuran durante la implementación.</w:t>
      </w:r>
    </w:p>
    <w:p w:rsidR="00F56D21" w:rsidP="00C43EC5" w:rsidRDefault="00F56D21" w14:paraId="047505D2" w14:textId="77777777">
      <w:pPr>
        <w:spacing w:after="0"/>
        <w:ind w:right="-142"/>
        <w:jc w:val="both"/>
        <w:rPr>
          <w:rFonts w:eastAsia="Arial" w:cs="Arial"/>
          <w:sz w:val="22"/>
          <w:szCs w:val="22"/>
        </w:rPr>
      </w:pPr>
    </w:p>
    <w:p w:rsidRPr="00A72EDB" w:rsidR="0029288C" w:rsidP="0026255A" w:rsidRDefault="0029288C" w14:paraId="0EBDD462" w14:textId="0E4BED23">
      <w:pPr>
        <w:pStyle w:val="Ttulo2"/>
        <w:numPr>
          <w:ilvl w:val="1"/>
          <w:numId w:val="6"/>
        </w:numPr>
        <w:ind w:left="567" w:firstLine="0"/>
        <w:rPr>
          <w:rFonts w:eastAsia="Times New Roman"/>
          <w:b/>
          <w:bCs/>
          <w:color w:val="auto"/>
          <w:sz w:val="24"/>
          <w:szCs w:val="24"/>
        </w:rPr>
      </w:pPr>
      <w:bookmarkStart w:name="_Toc225160596" w:id="3"/>
      <w:r w:rsidRPr="00A72EDB">
        <w:rPr>
          <w:rFonts w:eastAsia="Times New Roman"/>
          <w:b/>
          <w:bCs/>
          <w:color w:val="auto"/>
          <w:sz w:val="24"/>
          <w:szCs w:val="24"/>
        </w:rPr>
        <w:t xml:space="preserve">Teoría de </w:t>
      </w:r>
      <w:r w:rsidRPr="00A72EDB" w:rsidR="006C596A">
        <w:rPr>
          <w:rFonts w:eastAsia="Times New Roman"/>
          <w:b/>
          <w:bCs/>
          <w:color w:val="auto"/>
          <w:sz w:val="24"/>
          <w:szCs w:val="24"/>
        </w:rPr>
        <w:t xml:space="preserve">los </w:t>
      </w:r>
      <w:r w:rsidRPr="00A72EDB">
        <w:rPr>
          <w:rFonts w:eastAsia="Times New Roman"/>
          <w:b/>
          <w:bCs/>
          <w:color w:val="auto"/>
          <w:sz w:val="24"/>
          <w:szCs w:val="24"/>
        </w:rPr>
        <w:t xml:space="preserve">accidentes normales </w:t>
      </w:r>
      <w:r w:rsidRPr="00A72EDB" w:rsidR="006C596A">
        <w:rPr>
          <w:rFonts w:eastAsia="Times New Roman"/>
          <w:b/>
          <w:bCs/>
          <w:color w:val="auto"/>
          <w:sz w:val="24"/>
          <w:szCs w:val="24"/>
        </w:rPr>
        <w:t>NAT</w:t>
      </w:r>
      <w:r w:rsidR="005C270D">
        <w:rPr>
          <w:rFonts w:eastAsia="Times New Roman"/>
          <w:b/>
          <w:bCs/>
          <w:color w:val="auto"/>
          <w:sz w:val="24"/>
          <w:szCs w:val="24"/>
        </w:rPr>
        <w:t>.</w:t>
      </w:r>
      <w:bookmarkEnd w:id="3"/>
    </w:p>
    <w:p w:rsidR="00E151D2" w:rsidP="00C43EC5" w:rsidRDefault="00E151D2" w14:paraId="6CDC4193" w14:textId="77777777">
      <w:pPr>
        <w:spacing w:after="0"/>
        <w:ind w:right="-142"/>
        <w:jc w:val="both"/>
        <w:rPr>
          <w:rFonts w:eastAsia="Arial" w:cs="Arial"/>
          <w:sz w:val="22"/>
          <w:szCs w:val="22"/>
        </w:rPr>
      </w:pPr>
    </w:p>
    <w:p w:rsidR="00E26391" w:rsidP="00C43EC5" w:rsidRDefault="007C7DB6" w14:paraId="3481FE3E" w14:textId="77777777">
      <w:pPr>
        <w:spacing w:line="259" w:lineRule="auto"/>
        <w:ind w:right="-234"/>
        <w:jc w:val="both"/>
        <w:rPr>
          <w:rFonts w:eastAsia="Arial" w:cs="Arial"/>
          <w:sz w:val="22"/>
          <w:szCs w:val="22"/>
        </w:rPr>
      </w:pPr>
      <w:r>
        <w:rPr>
          <w:rFonts w:eastAsia="Arial" w:cs="Arial"/>
          <w:sz w:val="22"/>
          <w:szCs w:val="22"/>
        </w:rPr>
        <w:t>E</w:t>
      </w:r>
      <w:r w:rsidR="00E151D2">
        <w:rPr>
          <w:rFonts w:eastAsia="Arial" w:cs="Arial"/>
          <w:sz w:val="22"/>
          <w:szCs w:val="22"/>
        </w:rPr>
        <w:t>l</w:t>
      </w:r>
      <w:r w:rsidRPr="00881F07" w:rsidR="00881F07">
        <w:rPr>
          <w:rFonts w:eastAsia="Arial" w:cs="Arial"/>
          <w:sz w:val="22"/>
          <w:szCs w:val="22"/>
        </w:rPr>
        <w:t xml:space="preserve"> mensaje fundamental del padre fundador de la NAT, Charles Perrow (1984), es que la organización es esencialmente frágil</w:t>
      </w:r>
      <w:r w:rsidR="003148E3">
        <w:rPr>
          <w:rFonts w:eastAsia="Arial" w:cs="Arial"/>
          <w:sz w:val="22"/>
          <w:szCs w:val="22"/>
        </w:rPr>
        <w:t>, es decir, pase lo que pase</w:t>
      </w:r>
      <w:r w:rsidRPr="00881F07" w:rsidR="00881F07">
        <w:rPr>
          <w:rFonts w:eastAsia="Arial" w:cs="Arial"/>
          <w:sz w:val="22"/>
          <w:szCs w:val="22"/>
        </w:rPr>
        <w:t xml:space="preserve"> tarde o temprano habrá accidentes como consecuencia de la complejidad y del nivel de integración de los sistemas creados por el hombre. </w:t>
      </w:r>
      <w:r w:rsidR="00E3083F">
        <w:rPr>
          <w:rFonts w:eastAsia="Arial" w:cs="Arial"/>
          <w:sz w:val="22"/>
          <w:szCs w:val="22"/>
        </w:rPr>
        <w:t>Esta</w:t>
      </w:r>
      <w:r w:rsidR="003148E3">
        <w:rPr>
          <w:rFonts w:eastAsia="Arial" w:cs="Arial"/>
          <w:sz w:val="22"/>
          <w:szCs w:val="22"/>
        </w:rPr>
        <w:t xml:space="preserve"> </w:t>
      </w:r>
      <w:r w:rsidR="00CF02B7">
        <w:rPr>
          <w:rFonts w:eastAsia="Arial" w:cs="Arial"/>
          <w:sz w:val="22"/>
          <w:szCs w:val="22"/>
        </w:rPr>
        <w:t xml:space="preserve">teoría </w:t>
      </w:r>
      <w:r w:rsidRPr="006619A3" w:rsidR="006619A3">
        <w:rPr>
          <w:rFonts w:eastAsia="Arial" w:cs="Arial"/>
          <w:sz w:val="22"/>
          <w:szCs w:val="22"/>
        </w:rPr>
        <w:t xml:space="preserve">desarrollada a raíz del accidente en la planta nuclear de </w:t>
      </w:r>
      <w:proofErr w:type="spellStart"/>
      <w:r w:rsidRPr="006619A3" w:rsidR="006619A3">
        <w:rPr>
          <w:rFonts w:eastAsia="Arial" w:cs="Arial"/>
          <w:sz w:val="22"/>
          <w:szCs w:val="22"/>
        </w:rPr>
        <w:t>Three</w:t>
      </w:r>
      <w:proofErr w:type="spellEnd"/>
      <w:r w:rsidRPr="006619A3" w:rsidR="006619A3">
        <w:rPr>
          <w:rFonts w:eastAsia="Arial" w:cs="Arial"/>
          <w:sz w:val="22"/>
          <w:szCs w:val="22"/>
        </w:rPr>
        <w:t xml:space="preserve"> Mile Island </w:t>
      </w:r>
      <w:r w:rsidR="00FD1350">
        <w:rPr>
          <w:rFonts w:eastAsia="Arial" w:cs="Arial"/>
          <w:sz w:val="22"/>
          <w:szCs w:val="22"/>
        </w:rPr>
        <w:t>el 28 de marzo de</w:t>
      </w:r>
      <w:r w:rsidRPr="006619A3" w:rsidR="006619A3">
        <w:rPr>
          <w:rFonts w:eastAsia="Arial" w:cs="Arial"/>
          <w:sz w:val="22"/>
          <w:szCs w:val="22"/>
        </w:rPr>
        <w:t xml:space="preserve"> 1979</w:t>
      </w:r>
      <w:r w:rsidR="006619A3">
        <w:rPr>
          <w:rFonts w:eastAsia="Arial" w:cs="Arial"/>
          <w:sz w:val="22"/>
          <w:szCs w:val="22"/>
        </w:rPr>
        <w:t xml:space="preserve">, </w:t>
      </w:r>
      <w:r w:rsidR="00CF02B7">
        <w:rPr>
          <w:rFonts w:eastAsia="Arial" w:cs="Arial"/>
          <w:sz w:val="22"/>
          <w:szCs w:val="22"/>
        </w:rPr>
        <w:t xml:space="preserve">menciona </w:t>
      </w:r>
      <w:r w:rsidR="0032270D">
        <w:rPr>
          <w:rFonts w:eastAsia="Arial" w:cs="Arial"/>
          <w:sz w:val="22"/>
          <w:szCs w:val="22"/>
        </w:rPr>
        <w:t xml:space="preserve">que </w:t>
      </w:r>
      <w:r w:rsidRPr="00881F07" w:rsidR="0032270D">
        <w:rPr>
          <w:rFonts w:eastAsia="Arial" w:cs="Arial"/>
          <w:sz w:val="22"/>
          <w:szCs w:val="22"/>
        </w:rPr>
        <w:t>los</w:t>
      </w:r>
      <w:r w:rsidRPr="00881F07" w:rsidR="00881F07">
        <w:rPr>
          <w:rFonts w:eastAsia="Arial" w:cs="Arial"/>
          <w:sz w:val="22"/>
          <w:szCs w:val="22"/>
        </w:rPr>
        <w:t xml:space="preserve"> accidentes tendrán lugar como consecuencia de los errores de concepción resultantes de los bucles de retroalimentación presentes en la mayoría de las instalaciones industriales, sobre todo </w:t>
      </w:r>
      <w:r w:rsidR="00CF02B7">
        <w:rPr>
          <w:rFonts w:eastAsia="Arial" w:cs="Arial"/>
          <w:sz w:val="22"/>
          <w:szCs w:val="22"/>
        </w:rPr>
        <w:t>en aquellas que son m</w:t>
      </w:r>
      <w:r w:rsidRPr="00881F07" w:rsidR="00881F07">
        <w:rPr>
          <w:rFonts w:eastAsia="Arial" w:cs="Arial"/>
          <w:sz w:val="22"/>
          <w:szCs w:val="22"/>
        </w:rPr>
        <w:t xml:space="preserve">ás complejas. </w:t>
      </w:r>
    </w:p>
    <w:p w:rsidRPr="00810BA8" w:rsidR="00BB02D1" w:rsidP="00C43EC5" w:rsidRDefault="0032270D" w14:paraId="4FACB803" w14:textId="701291EC">
      <w:pPr>
        <w:spacing w:line="259" w:lineRule="auto"/>
        <w:ind w:right="-234"/>
        <w:jc w:val="both"/>
        <w:rPr>
          <w:sz w:val="22"/>
          <w:szCs w:val="22"/>
        </w:rPr>
      </w:pPr>
      <w:r>
        <w:rPr>
          <w:rFonts w:eastAsia="Arial" w:cs="Arial"/>
          <w:sz w:val="22"/>
          <w:szCs w:val="22"/>
        </w:rPr>
        <w:lastRenderedPageBreak/>
        <w:t>Para Perrow, l</w:t>
      </w:r>
      <w:r w:rsidRPr="00881F07" w:rsidR="00881F07">
        <w:rPr>
          <w:rFonts w:eastAsia="Arial" w:cs="Arial"/>
          <w:sz w:val="22"/>
          <w:szCs w:val="22"/>
        </w:rPr>
        <w:t>a retroalimentación constituirá el origen de la falta de previsión del funcionamiento de las fábricas, especialmente de errores de funcionamiento que desembocan en resultados inesperados y/o no deseados</w:t>
      </w:r>
      <w:r w:rsidRPr="006D3B7B" w:rsidR="00881F07">
        <w:rPr>
          <w:rFonts w:eastAsia="Arial" w:cs="Arial"/>
          <w:sz w:val="22"/>
          <w:szCs w:val="22"/>
        </w:rPr>
        <w:t>.</w:t>
      </w:r>
      <w:r w:rsidRPr="006D3B7B">
        <w:rPr>
          <w:rFonts w:eastAsia="Arial" w:cs="Arial"/>
          <w:sz w:val="22"/>
          <w:szCs w:val="22"/>
        </w:rPr>
        <w:t xml:space="preserve"> </w:t>
      </w:r>
      <w:r w:rsidRPr="006D3B7B" w:rsidR="008E5780">
        <w:rPr>
          <w:rFonts w:eastAsia="Arial" w:cs="Arial"/>
          <w:sz w:val="22"/>
          <w:szCs w:val="22"/>
        </w:rPr>
        <w:t xml:space="preserve">Esta teoría </w:t>
      </w:r>
      <w:r w:rsidRPr="006D3B7B" w:rsidR="00BB02D1">
        <w:rPr>
          <w:rFonts w:eastAsia="Arial" w:cs="Arial"/>
          <w:sz w:val="22"/>
          <w:szCs w:val="22"/>
        </w:rPr>
        <w:t xml:space="preserve">de </w:t>
      </w:r>
      <w:r w:rsidRPr="00810BA8" w:rsidR="00BB02D1">
        <w:rPr>
          <w:sz w:val="22"/>
          <w:szCs w:val="22"/>
        </w:rPr>
        <w:t xml:space="preserve">Perrow introdujo la idea de que en algunos sistemas tecnológicos los accidentes son inevitables o “normales” </w:t>
      </w:r>
      <w:r w:rsidR="00153A44">
        <w:rPr>
          <w:sz w:val="22"/>
          <w:szCs w:val="22"/>
        </w:rPr>
        <w:t>y</w:t>
      </w:r>
      <w:r w:rsidRPr="006D3B7B" w:rsidR="0090590A">
        <w:rPr>
          <w:sz w:val="22"/>
          <w:szCs w:val="22"/>
        </w:rPr>
        <w:t xml:space="preserve"> d</w:t>
      </w:r>
      <w:r w:rsidRPr="00810BA8" w:rsidR="00BB02D1">
        <w:rPr>
          <w:sz w:val="22"/>
          <w:szCs w:val="22"/>
        </w:rPr>
        <w:t>efinió dos dimensiones relacionadas</w:t>
      </w:r>
      <w:r w:rsidRPr="006D3B7B" w:rsidR="00CB6B28">
        <w:rPr>
          <w:sz w:val="22"/>
          <w:szCs w:val="22"/>
        </w:rPr>
        <w:t xml:space="preserve"> así: por un lado, </w:t>
      </w:r>
      <w:r w:rsidRPr="006D3B7B" w:rsidR="006B6A3E">
        <w:rPr>
          <w:i/>
          <w:iCs/>
          <w:sz w:val="22"/>
          <w:szCs w:val="22"/>
        </w:rPr>
        <w:t xml:space="preserve">la </w:t>
      </w:r>
      <w:r w:rsidRPr="00810BA8" w:rsidR="00BB02D1">
        <w:rPr>
          <w:i/>
          <w:iCs/>
          <w:sz w:val="22"/>
          <w:szCs w:val="22"/>
        </w:rPr>
        <w:t xml:space="preserve">complejidad interactiva y </w:t>
      </w:r>
      <w:r w:rsidR="007679A8">
        <w:rPr>
          <w:i/>
          <w:iCs/>
          <w:sz w:val="22"/>
          <w:szCs w:val="22"/>
        </w:rPr>
        <w:t xml:space="preserve">el </w:t>
      </w:r>
      <w:r w:rsidRPr="00810BA8" w:rsidR="00BB02D1">
        <w:rPr>
          <w:i/>
          <w:iCs/>
          <w:sz w:val="22"/>
          <w:szCs w:val="22"/>
        </w:rPr>
        <w:t>acoplamiento laxo/estrecho</w:t>
      </w:r>
      <w:r w:rsidRPr="006D3B7B" w:rsidR="006B6A3E">
        <w:rPr>
          <w:sz w:val="22"/>
          <w:szCs w:val="22"/>
        </w:rPr>
        <w:t xml:space="preserve"> </w:t>
      </w:r>
      <w:r w:rsidRPr="00810BA8" w:rsidR="00BB02D1">
        <w:rPr>
          <w:sz w:val="22"/>
          <w:szCs w:val="22"/>
        </w:rPr>
        <w:t>que, según afirmó, determinan conjuntamente la susceptibilidad de un sistema a los accidentes</w:t>
      </w:r>
      <w:r w:rsidR="00153A44">
        <w:rPr>
          <w:sz w:val="22"/>
          <w:szCs w:val="22"/>
        </w:rPr>
        <w:t xml:space="preserve"> </w:t>
      </w:r>
      <w:r w:rsidRPr="006D3B7B" w:rsidR="00153A44">
        <w:rPr>
          <w:sz w:val="22"/>
          <w:szCs w:val="22"/>
        </w:rPr>
        <w:t>(Perrow, 1999)</w:t>
      </w:r>
      <w:r w:rsidRPr="00810BA8" w:rsidR="00BB02D1">
        <w:rPr>
          <w:sz w:val="22"/>
          <w:szCs w:val="22"/>
        </w:rPr>
        <w:t>.</w:t>
      </w:r>
    </w:p>
    <w:p w:rsidRPr="006D3B7B" w:rsidR="00BB02D1" w:rsidP="00C43EC5" w:rsidRDefault="00BB02D1" w14:paraId="301C2228" w14:textId="5EDD6656">
      <w:pPr>
        <w:ind w:right="-234"/>
        <w:jc w:val="both"/>
        <w:rPr>
          <w:sz w:val="22"/>
          <w:szCs w:val="22"/>
        </w:rPr>
      </w:pPr>
      <w:r w:rsidRPr="00810BA8">
        <w:rPr>
          <w:sz w:val="22"/>
          <w:szCs w:val="22"/>
        </w:rPr>
        <w:t xml:space="preserve">La </w:t>
      </w:r>
      <w:r w:rsidRPr="00810BA8">
        <w:rPr>
          <w:i/>
          <w:iCs/>
          <w:sz w:val="22"/>
          <w:szCs w:val="22"/>
        </w:rPr>
        <w:t>complejidad interactiva</w:t>
      </w:r>
      <w:r w:rsidRPr="00810BA8">
        <w:rPr>
          <w:sz w:val="22"/>
          <w:szCs w:val="22"/>
        </w:rPr>
        <w:t xml:space="preserve"> </w:t>
      </w:r>
      <w:r w:rsidRPr="006D3B7B" w:rsidR="00B85EC9">
        <w:rPr>
          <w:sz w:val="22"/>
          <w:szCs w:val="22"/>
        </w:rPr>
        <w:t xml:space="preserve">hace referencia a la </w:t>
      </w:r>
      <w:r w:rsidRPr="00810BA8">
        <w:rPr>
          <w:sz w:val="22"/>
          <w:szCs w:val="22"/>
        </w:rPr>
        <w:t>presencia de secuencias de eventos desconocidas o no planificadas e inesperadas en un sistema que no son visibles o no son inmediatamente comprensibles</w:t>
      </w:r>
      <w:r w:rsidR="006523D5">
        <w:rPr>
          <w:sz w:val="22"/>
          <w:szCs w:val="22"/>
        </w:rPr>
        <w:t xml:space="preserve">, es decir, </w:t>
      </w:r>
      <w:r w:rsidR="003D1160">
        <w:rPr>
          <w:sz w:val="22"/>
          <w:szCs w:val="22"/>
        </w:rPr>
        <w:t>se tienen m</w:t>
      </w:r>
      <w:r w:rsidRPr="006523D5" w:rsidR="006523D5">
        <w:rPr>
          <w:sz w:val="22"/>
          <w:szCs w:val="22"/>
        </w:rPr>
        <w:t xml:space="preserve">uchos componentes interdependientes con interacciones </w:t>
      </w:r>
      <w:r w:rsidR="00732CD3">
        <w:rPr>
          <w:sz w:val="22"/>
          <w:szCs w:val="22"/>
        </w:rPr>
        <w:t xml:space="preserve">que son </w:t>
      </w:r>
      <w:r w:rsidRPr="006523D5" w:rsidR="006523D5">
        <w:rPr>
          <w:sz w:val="22"/>
          <w:szCs w:val="22"/>
        </w:rPr>
        <w:t>difíciles de prever</w:t>
      </w:r>
      <w:r w:rsidRPr="00810BA8">
        <w:rPr>
          <w:sz w:val="22"/>
          <w:szCs w:val="22"/>
        </w:rPr>
        <w:t xml:space="preserve">. </w:t>
      </w:r>
      <w:r w:rsidRPr="006D3B7B" w:rsidR="005D3EB3">
        <w:rPr>
          <w:sz w:val="22"/>
          <w:szCs w:val="22"/>
        </w:rPr>
        <w:t>Por su parte, u</w:t>
      </w:r>
      <w:r w:rsidRPr="00810BA8">
        <w:rPr>
          <w:sz w:val="22"/>
          <w:szCs w:val="22"/>
        </w:rPr>
        <w:t xml:space="preserve">n </w:t>
      </w:r>
      <w:r w:rsidRPr="00810BA8">
        <w:rPr>
          <w:i/>
          <w:iCs/>
          <w:sz w:val="22"/>
          <w:szCs w:val="22"/>
        </w:rPr>
        <w:t>sistema estrechamente acoplado</w:t>
      </w:r>
      <w:r w:rsidRPr="00810BA8">
        <w:rPr>
          <w:sz w:val="22"/>
          <w:szCs w:val="22"/>
        </w:rPr>
        <w:t xml:space="preserve"> es aquel que es altamente interdependiente: cada parte del sistema está estrechamente vinculada a muchas otras partes y, por lo tanto, un cambio en una parte puede afectar rápidamente el estado de otras partes. Los sistemas estrechamente acoplados responden rápidamente a perturbaciones, pero esta respuesta puede ser desastrosa</w:t>
      </w:r>
      <w:r w:rsidR="005A4A69">
        <w:rPr>
          <w:sz w:val="22"/>
          <w:szCs w:val="22"/>
        </w:rPr>
        <w:t>, son p</w:t>
      </w:r>
      <w:r w:rsidRPr="005A4A69" w:rsidR="005A4A69">
        <w:rPr>
          <w:sz w:val="22"/>
          <w:szCs w:val="22"/>
        </w:rPr>
        <w:t>rocesos muy interdependientes que ocurren rápidamente y dejan poco margen para intervenir</w:t>
      </w:r>
      <w:r w:rsidRPr="00810BA8">
        <w:rPr>
          <w:sz w:val="22"/>
          <w:szCs w:val="22"/>
        </w:rPr>
        <w:t xml:space="preserve">. </w:t>
      </w:r>
      <w:r w:rsidR="005A4A69">
        <w:rPr>
          <w:sz w:val="22"/>
          <w:szCs w:val="22"/>
        </w:rPr>
        <w:t>Por su parte, l</w:t>
      </w:r>
      <w:r w:rsidRPr="00810BA8">
        <w:rPr>
          <w:sz w:val="22"/>
          <w:szCs w:val="22"/>
        </w:rPr>
        <w:t xml:space="preserve">os </w:t>
      </w:r>
      <w:r w:rsidRPr="00810BA8">
        <w:rPr>
          <w:i/>
          <w:iCs/>
          <w:sz w:val="22"/>
          <w:szCs w:val="22"/>
        </w:rPr>
        <w:t>sistemas débilmente acoplados o desacoplados</w:t>
      </w:r>
      <w:r w:rsidRPr="00810BA8">
        <w:rPr>
          <w:sz w:val="22"/>
          <w:szCs w:val="22"/>
        </w:rPr>
        <w:t xml:space="preserve"> tienen menos vínculos </w:t>
      </w:r>
      <w:r w:rsidRPr="006D3B7B" w:rsidR="00B8159C">
        <w:rPr>
          <w:sz w:val="22"/>
          <w:szCs w:val="22"/>
        </w:rPr>
        <w:t xml:space="preserve">estrechos </w:t>
      </w:r>
      <w:r w:rsidRPr="00810BA8">
        <w:rPr>
          <w:sz w:val="22"/>
          <w:szCs w:val="22"/>
        </w:rPr>
        <w:t>entre sus partes y, por lo tanto, son capaces de absorber fallas o comportamientos no planificados sin desestabilizarse</w:t>
      </w:r>
      <w:r w:rsidRPr="006D3B7B" w:rsidR="00AE1191">
        <w:rPr>
          <w:sz w:val="22"/>
          <w:szCs w:val="22"/>
        </w:rPr>
        <w:t xml:space="preserve"> (</w:t>
      </w:r>
      <w:r w:rsidRPr="00D86BA2" w:rsidR="00891EB8">
        <w:rPr>
          <w:sz w:val="22"/>
          <w:szCs w:val="22"/>
        </w:rPr>
        <w:t>Marais, Dulac</w:t>
      </w:r>
      <w:r w:rsidRPr="006D3B7B" w:rsidR="00891EB8">
        <w:rPr>
          <w:sz w:val="22"/>
          <w:szCs w:val="22"/>
        </w:rPr>
        <w:t xml:space="preserve"> y </w:t>
      </w:r>
      <w:proofErr w:type="spellStart"/>
      <w:r w:rsidRPr="00D86BA2" w:rsidR="00891EB8">
        <w:rPr>
          <w:sz w:val="22"/>
          <w:szCs w:val="22"/>
        </w:rPr>
        <w:t>Leveson</w:t>
      </w:r>
      <w:proofErr w:type="spellEnd"/>
      <w:r w:rsidRPr="006D3B7B" w:rsidR="00891EB8">
        <w:rPr>
          <w:sz w:val="22"/>
          <w:szCs w:val="22"/>
        </w:rPr>
        <w:t xml:space="preserve"> 2004)</w:t>
      </w:r>
      <w:r w:rsidRPr="00810BA8">
        <w:rPr>
          <w:sz w:val="22"/>
          <w:szCs w:val="22"/>
        </w:rPr>
        <w:t>.</w:t>
      </w:r>
    </w:p>
    <w:p w:rsidRPr="007426A6" w:rsidR="007426A6" w:rsidP="00C43EC5" w:rsidRDefault="007426A6" w14:paraId="6191B783" w14:textId="6CE055AF">
      <w:pPr>
        <w:spacing w:after="0"/>
        <w:ind w:right="-234"/>
        <w:jc w:val="both"/>
        <w:rPr>
          <w:sz w:val="22"/>
          <w:szCs w:val="22"/>
        </w:rPr>
      </w:pPr>
      <w:r w:rsidRPr="007426A6">
        <w:rPr>
          <w:sz w:val="22"/>
          <w:szCs w:val="22"/>
        </w:rPr>
        <w:t>Desde la perspectiva de la Teoría de los Accidentes Normales (NAT), los sistemas caracterizados por alta complejidad interactiva y acoplamiento estrecho presentan una propensión estructural a sufrir fallas inevitables. Para Perrow, estos “accidentes del sistema” no son anomalías excepcionales, sino resultados inherentes a la arquitectura misma de ciertos sistemas tecnológicos complejos.</w:t>
      </w:r>
    </w:p>
    <w:p w:rsidRPr="007426A6" w:rsidR="007426A6" w:rsidP="00C43EC5" w:rsidRDefault="007426A6" w14:paraId="7694C7C6" w14:textId="77777777">
      <w:pPr>
        <w:spacing w:after="0"/>
        <w:ind w:right="-234"/>
        <w:jc w:val="both"/>
        <w:rPr>
          <w:sz w:val="22"/>
          <w:szCs w:val="22"/>
        </w:rPr>
      </w:pPr>
    </w:p>
    <w:p w:rsidR="007426A6" w:rsidP="00C43EC5" w:rsidRDefault="007426A6" w14:paraId="01566423" w14:textId="50A4BF66">
      <w:pPr>
        <w:spacing w:after="0"/>
        <w:ind w:right="-234"/>
        <w:jc w:val="both"/>
        <w:rPr>
          <w:i/>
          <w:iCs/>
          <w:sz w:val="22"/>
          <w:szCs w:val="22"/>
        </w:rPr>
      </w:pPr>
      <w:r w:rsidRPr="007426A6">
        <w:rPr>
          <w:sz w:val="22"/>
          <w:szCs w:val="22"/>
        </w:rPr>
        <w:t xml:space="preserve">En contextos de complejidad interactiva, múltiples fallas que inicialmente parecen independientes pueden combinarse de formas inesperadas, superando la capacidad de anticipación tanto de los diseñadores como de los operadores. </w:t>
      </w:r>
      <w:r w:rsidR="00F35E08">
        <w:rPr>
          <w:sz w:val="22"/>
          <w:szCs w:val="22"/>
        </w:rPr>
        <w:t>Además, c</w:t>
      </w:r>
      <w:r w:rsidRPr="007426A6">
        <w:rPr>
          <w:sz w:val="22"/>
          <w:szCs w:val="22"/>
        </w:rPr>
        <w:t>uando, el sistema opera bajo un esquema de acoplamiento estrecho</w:t>
      </w:r>
      <w:r w:rsidR="005A114D">
        <w:rPr>
          <w:sz w:val="22"/>
          <w:szCs w:val="22"/>
        </w:rPr>
        <w:t xml:space="preserve">, </w:t>
      </w:r>
      <w:r w:rsidRPr="007426A6">
        <w:rPr>
          <w:sz w:val="22"/>
          <w:szCs w:val="22"/>
        </w:rPr>
        <w:t>es decir, con escaso margen temporal o funcional entre sus componentes</w:t>
      </w:r>
      <w:r w:rsidR="005A114D">
        <w:rPr>
          <w:sz w:val="22"/>
          <w:szCs w:val="22"/>
        </w:rPr>
        <w:t xml:space="preserve">, </w:t>
      </w:r>
      <w:r w:rsidRPr="007426A6">
        <w:rPr>
          <w:sz w:val="22"/>
          <w:szCs w:val="22"/>
        </w:rPr>
        <w:t>las perturbaciones se propagan con rapidez, generando efectos en cascada que pueden escapar al control antes de que exista comprensión suficiente para intervenir eficazmente. En consecuencia, en este tipo de configuraciones organizacionales y tecnológicas, eventos menores o aparentemente insignificantes pueden amplificarse de manera no lineal y derivar en resultados graves, confirmando la tesis central de la NAT</w:t>
      </w:r>
      <w:r w:rsidR="002A34B8">
        <w:rPr>
          <w:sz w:val="22"/>
          <w:szCs w:val="22"/>
        </w:rPr>
        <w:t>, donde, “</w:t>
      </w:r>
      <w:r w:rsidRPr="007426A6">
        <w:rPr>
          <w:i/>
          <w:iCs/>
          <w:sz w:val="22"/>
          <w:szCs w:val="22"/>
        </w:rPr>
        <w:t>en determinados sistemas complejos, el accidente no es una excepción, sino una posibilidad estructuralmente normal</w:t>
      </w:r>
      <w:r w:rsidR="002A34B8">
        <w:rPr>
          <w:i/>
          <w:iCs/>
          <w:sz w:val="22"/>
          <w:szCs w:val="22"/>
        </w:rPr>
        <w:t>”</w:t>
      </w:r>
      <w:r w:rsidRPr="007426A6">
        <w:rPr>
          <w:i/>
          <w:iCs/>
          <w:sz w:val="22"/>
          <w:szCs w:val="22"/>
        </w:rPr>
        <w:t>.</w:t>
      </w:r>
    </w:p>
    <w:p w:rsidR="00115957" w:rsidP="007426A6" w:rsidRDefault="00115957" w14:paraId="40A4371F" w14:textId="77777777">
      <w:pPr>
        <w:spacing w:after="0"/>
        <w:ind w:left="-567" w:right="-234"/>
        <w:jc w:val="both"/>
        <w:rPr>
          <w:i/>
          <w:iCs/>
          <w:sz w:val="22"/>
          <w:szCs w:val="22"/>
        </w:rPr>
      </w:pPr>
    </w:p>
    <w:p w:rsidRPr="00592989" w:rsidR="00115957" w:rsidP="0026255A" w:rsidRDefault="008F7E06" w14:paraId="0CB3CCF2" w14:textId="4EEC25B7">
      <w:pPr>
        <w:pStyle w:val="Ttulo2"/>
        <w:numPr>
          <w:ilvl w:val="1"/>
          <w:numId w:val="6"/>
        </w:numPr>
        <w:ind w:left="567" w:firstLine="0"/>
        <w:rPr>
          <w:rFonts w:eastAsia="Times New Roman"/>
          <w:b/>
          <w:bCs/>
          <w:color w:val="auto"/>
          <w:sz w:val="24"/>
          <w:szCs w:val="24"/>
        </w:rPr>
      </w:pPr>
      <w:bookmarkStart w:name="_Toc225160597" w:id="4"/>
      <w:r>
        <w:rPr>
          <w:rFonts w:eastAsia="Times New Roman"/>
          <w:b/>
          <w:bCs/>
          <w:color w:val="auto"/>
          <w:sz w:val="24"/>
          <w:szCs w:val="24"/>
        </w:rPr>
        <w:t xml:space="preserve">Teoría de las </w:t>
      </w:r>
      <w:r w:rsidRPr="00592989" w:rsidR="00592989">
        <w:rPr>
          <w:rFonts w:eastAsia="Times New Roman"/>
          <w:b/>
          <w:bCs/>
          <w:color w:val="auto"/>
          <w:sz w:val="24"/>
          <w:szCs w:val="24"/>
        </w:rPr>
        <w:t>Organizaciones de alta confiabilidad</w:t>
      </w:r>
      <w:r w:rsidR="005C270D">
        <w:rPr>
          <w:rFonts w:eastAsia="Times New Roman"/>
          <w:b/>
          <w:bCs/>
          <w:color w:val="auto"/>
          <w:sz w:val="24"/>
          <w:szCs w:val="24"/>
        </w:rPr>
        <w:t xml:space="preserve"> HRO</w:t>
      </w:r>
      <w:r w:rsidRPr="00592989" w:rsidR="00592989">
        <w:rPr>
          <w:rFonts w:eastAsia="Times New Roman"/>
          <w:b/>
          <w:bCs/>
          <w:color w:val="auto"/>
          <w:sz w:val="24"/>
          <w:szCs w:val="24"/>
        </w:rPr>
        <w:t>.</w:t>
      </w:r>
      <w:bookmarkEnd w:id="4"/>
    </w:p>
    <w:p w:rsidRPr="002A34B8" w:rsidR="00B74143" w:rsidP="00BD6ED7" w:rsidRDefault="00B74143" w14:paraId="00C10CB5" w14:textId="2695F3CA">
      <w:pPr>
        <w:spacing w:after="0"/>
        <w:ind w:left="-567" w:right="-234"/>
        <w:jc w:val="both"/>
        <w:rPr>
          <w:rFonts w:eastAsia="Arial" w:cs="Arial"/>
          <w:i/>
          <w:iCs/>
          <w:sz w:val="20"/>
          <w:szCs w:val="20"/>
        </w:rPr>
      </w:pPr>
    </w:p>
    <w:p w:rsidR="000C1886" w:rsidP="00C43EC5" w:rsidRDefault="00CF0367" w14:paraId="629565AA" w14:textId="77777777">
      <w:pPr>
        <w:ind w:right="-234"/>
        <w:jc w:val="both"/>
        <w:rPr>
          <w:sz w:val="22"/>
          <w:szCs w:val="22"/>
        </w:rPr>
      </w:pPr>
      <w:r>
        <w:rPr>
          <w:rFonts w:eastAsia="Arial" w:cs="Arial"/>
          <w:sz w:val="22"/>
          <w:szCs w:val="22"/>
        </w:rPr>
        <w:t xml:space="preserve">De otro lado, </w:t>
      </w:r>
      <w:r w:rsidR="00AA60C0">
        <w:rPr>
          <w:rFonts w:eastAsia="Arial" w:cs="Arial"/>
          <w:sz w:val="22"/>
          <w:szCs w:val="22"/>
        </w:rPr>
        <w:t xml:space="preserve">y con respecto a la </w:t>
      </w:r>
      <w:r w:rsidR="00A0339E">
        <w:rPr>
          <w:rFonts w:eastAsia="Arial" w:cs="Arial"/>
          <w:sz w:val="22"/>
          <w:szCs w:val="22"/>
        </w:rPr>
        <w:t>definición de</w:t>
      </w:r>
      <w:r w:rsidRPr="00D01B30" w:rsidR="00D01B30">
        <w:rPr>
          <w:rFonts w:eastAsia="Arial" w:cs="Arial"/>
          <w:sz w:val="22"/>
          <w:szCs w:val="22"/>
        </w:rPr>
        <w:t xml:space="preserve"> Organizaciones de Alta Confiabilidad</w:t>
      </w:r>
      <w:r w:rsidR="00A0339E">
        <w:rPr>
          <w:rFonts w:eastAsia="Arial" w:cs="Arial"/>
          <w:sz w:val="22"/>
          <w:szCs w:val="22"/>
        </w:rPr>
        <w:t xml:space="preserve"> (</w:t>
      </w:r>
      <w:r w:rsidR="00F74E4E">
        <w:rPr>
          <w:rFonts w:eastAsia="Arial" w:cs="Arial"/>
          <w:sz w:val="22"/>
          <w:szCs w:val="22"/>
        </w:rPr>
        <w:t>HRO)</w:t>
      </w:r>
      <w:r w:rsidR="008C2349">
        <w:rPr>
          <w:rFonts w:eastAsia="Arial" w:cs="Arial"/>
          <w:sz w:val="22"/>
          <w:szCs w:val="22"/>
        </w:rPr>
        <w:t xml:space="preserve">, </w:t>
      </w:r>
      <w:r w:rsidRPr="00D01B30" w:rsidR="00D01B30">
        <w:rPr>
          <w:rFonts w:eastAsia="Arial" w:cs="Arial"/>
          <w:sz w:val="22"/>
          <w:szCs w:val="22"/>
        </w:rPr>
        <w:t>Roberts</w:t>
      </w:r>
      <w:r w:rsidR="009B24F7">
        <w:rPr>
          <w:rFonts w:eastAsia="Arial" w:cs="Arial"/>
          <w:sz w:val="22"/>
          <w:szCs w:val="22"/>
        </w:rPr>
        <w:t xml:space="preserve"> (1990)</w:t>
      </w:r>
      <w:r w:rsidR="008C2349">
        <w:rPr>
          <w:rFonts w:eastAsia="Arial" w:cs="Arial"/>
          <w:sz w:val="22"/>
          <w:szCs w:val="22"/>
        </w:rPr>
        <w:t xml:space="preserve"> las</w:t>
      </w:r>
      <w:r w:rsidRPr="00D01B30" w:rsidR="00D01B30">
        <w:rPr>
          <w:rFonts w:eastAsia="Arial" w:cs="Arial"/>
          <w:sz w:val="22"/>
          <w:szCs w:val="22"/>
        </w:rPr>
        <w:t xml:space="preserve"> identifica como el subconjunto de organizaciones peligrosas que disfrutan de un historial de alta seguridad durante largos períodos de tiemp</w:t>
      </w:r>
      <w:r w:rsidR="006D7ECC">
        <w:rPr>
          <w:rFonts w:eastAsia="Arial" w:cs="Arial"/>
          <w:sz w:val="22"/>
          <w:szCs w:val="22"/>
        </w:rPr>
        <w:t xml:space="preserve">o, considera que </w:t>
      </w:r>
      <w:r w:rsidR="008C2349">
        <w:rPr>
          <w:rFonts w:eastAsia="Arial" w:cs="Arial"/>
          <w:sz w:val="22"/>
          <w:szCs w:val="22"/>
        </w:rPr>
        <w:t>s</w:t>
      </w:r>
      <w:r w:rsidRPr="00D01B30" w:rsidR="00D01B30">
        <w:rPr>
          <w:rFonts w:eastAsia="Arial" w:cs="Arial"/>
          <w:sz w:val="22"/>
          <w:szCs w:val="22"/>
        </w:rPr>
        <w:t xml:space="preserve">e puede identificar este subconjunto respondiendo a la pregunta: </w:t>
      </w:r>
      <w:r w:rsidRPr="006D7ECC" w:rsidR="00D01B30">
        <w:rPr>
          <w:rFonts w:eastAsia="Arial" w:cs="Arial"/>
          <w:i/>
          <w:iCs/>
          <w:sz w:val="22"/>
          <w:szCs w:val="22"/>
        </w:rPr>
        <w:t>“¿cuántas veces podría haber fallado esta organización resultando en consecuencias catastróficas y no lo hizo?”</w:t>
      </w:r>
      <w:r w:rsidRPr="00D01B30" w:rsidR="00D01B30">
        <w:rPr>
          <w:rFonts w:eastAsia="Arial" w:cs="Arial"/>
          <w:sz w:val="22"/>
          <w:szCs w:val="22"/>
        </w:rPr>
        <w:t xml:space="preserve"> Si la respuesta es del orden de decenas de </w:t>
      </w:r>
      <w:r w:rsidRPr="00D01B30" w:rsidR="00D01B30">
        <w:rPr>
          <w:rFonts w:eastAsia="Arial" w:cs="Arial"/>
          <w:sz w:val="22"/>
          <w:szCs w:val="22"/>
        </w:rPr>
        <w:lastRenderedPageBreak/>
        <w:t xml:space="preserve">miles de veces, la organización es de “alta” confiabilidad. </w:t>
      </w:r>
      <w:r w:rsidRPr="00E72FE4" w:rsidR="00E72FE4">
        <w:rPr>
          <w:rFonts w:eastAsia="Arial" w:cs="Arial"/>
          <w:sz w:val="22"/>
          <w:szCs w:val="22"/>
        </w:rPr>
        <w:t>Según esta definición, es difícil pensar en organizaciones de baja confiabilidad</w:t>
      </w:r>
      <w:r w:rsidR="009E27AA">
        <w:rPr>
          <w:rFonts w:eastAsia="Arial" w:cs="Arial"/>
          <w:sz w:val="22"/>
          <w:szCs w:val="22"/>
        </w:rPr>
        <w:t xml:space="preserve">, es decir, </w:t>
      </w:r>
      <w:r w:rsidRPr="00E72FE4" w:rsidR="00E72FE4">
        <w:rPr>
          <w:rFonts w:eastAsia="Arial" w:cs="Arial"/>
          <w:sz w:val="22"/>
          <w:szCs w:val="22"/>
        </w:rPr>
        <w:t>cualquier organización que no tuviera al menos este tipo de historial de seguridad sería cerrada inmediatamente, excepto en culturas o países donde consecuencias catastróficas frecuentes y la muerte son aceptables</w:t>
      </w:r>
      <w:r w:rsidR="00271F93">
        <w:rPr>
          <w:rFonts w:eastAsia="Arial" w:cs="Arial"/>
          <w:sz w:val="22"/>
          <w:szCs w:val="22"/>
        </w:rPr>
        <w:t xml:space="preserve">. Así las cosas, la literatura propone que </w:t>
      </w:r>
      <w:r w:rsidR="00B601E3">
        <w:rPr>
          <w:rFonts w:eastAsia="Arial" w:cs="Arial"/>
          <w:sz w:val="22"/>
          <w:szCs w:val="22"/>
        </w:rPr>
        <w:t>l</w:t>
      </w:r>
      <w:r w:rsidRPr="00B601E3" w:rsidR="00B601E3">
        <w:rPr>
          <w:rFonts w:eastAsia="Arial" w:cs="Arial"/>
          <w:sz w:val="22"/>
          <w:szCs w:val="22"/>
        </w:rPr>
        <w:t>a única manera de definir la seguridad o de comparar organizaciones en términos de seguridad es calcular tasas de accidentes basadas en una actividad particular durante un período operativo común</w:t>
      </w:r>
      <w:r w:rsidR="000C1886">
        <w:rPr>
          <w:rFonts w:eastAsia="Arial" w:cs="Arial"/>
          <w:sz w:val="22"/>
          <w:szCs w:val="22"/>
        </w:rPr>
        <w:t xml:space="preserve"> </w:t>
      </w:r>
      <w:r w:rsidRPr="006D3B7B" w:rsidR="000C1886">
        <w:rPr>
          <w:sz w:val="22"/>
          <w:szCs w:val="22"/>
        </w:rPr>
        <w:t>(</w:t>
      </w:r>
      <w:r w:rsidRPr="00D86BA2" w:rsidR="000C1886">
        <w:rPr>
          <w:sz w:val="22"/>
          <w:szCs w:val="22"/>
        </w:rPr>
        <w:t>Marais, Dulac</w:t>
      </w:r>
      <w:r w:rsidRPr="006D3B7B" w:rsidR="000C1886">
        <w:rPr>
          <w:sz w:val="22"/>
          <w:szCs w:val="22"/>
        </w:rPr>
        <w:t xml:space="preserve"> y </w:t>
      </w:r>
      <w:proofErr w:type="spellStart"/>
      <w:r w:rsidRPr="00D86BA2" w:rsidR="000C1886">
        <w:rPr>
          <w:sz w:val="22"/>
          <w:szCs w:val="22"/>
        </w:rPr>
        <w:t>Leveson</w:t>
      </w:r>
      <w:proofErr w:type="spellEnd"/>
      <w:r w:rsidRPr="006D3B7B" w:rsidR="000C1886">
        <w:rPr>
          <w:sz w:val="22"/>
          <w:szCs w:val="22"/>
        </w:rPr>
        <w:t xml:space="preserve"> 2004)</w:t>
      </w:r>
      <w:r w:rsidRPr="00810BA8" w:rsidR="000C1886">
        <w:rPr>
          <w:sz w:val="22"/>
          <w:szCs w:val="22"/>
        </w:rPr>
        <w:t>.</w:t>
      </w:r>
    </w:p>
    <w:p w:rsidRPr="00D027AB" w:rsidR="00D027AB" w:rsidP="00C43EC5" w:rsidRDefault="00124D1F" w14:paraId="5F95B8AB" w14:textId="77777777">
      <w:pPr>
        <w:ind w:right="-234"/>
        <w:jc w:val="both"/>
        <w:rPr>
          <w:sz w:val="22"/>
          <w:szCs w:val="22"/>
        </w:rPr>
      </w:pPr>
      <w:r w:rsidRPr="00D027AB">
        <w:rPr>
          <w:sz w:val="22"/>
          <w:szCs w:val="22"/>
        </w:rPr>
        <w:t>Los</w:t>
      </w:r>
      <w:r w:rsidRPr="00810BA8">
        <w:rPr>
          <w:sz w:val="22"/>
          <w:szCs w:val="22"/>
        </w:rPr>
        <w:t xml:space="preserve"> investigadores HRO </w:t>
      </w:r>
      <w:r w:rsidRPr="00D027AB" w:rsidR="00324640">
        <w:rPr>
          <w:sz w:val="22"/>
          <w:szCs w:val="22"/>
        </w:rPr>
        <w:t>contradicen</w:t>
      </w:r>
      <w:r w:rsidRPr="00810BA8">
        <w:rPr>
          <w:sz w:val="22"/>
          <w:szCs w:val="22"/>
        </w:rPr>
        <w:t xml:space="preserve"> la hipótesis de Perrow</w:t>
      </w:r>
      <w:r w:rsidRPr="00D027AB" w:rsidR="00324640">
        <w:rPr>
          <w:sz w:val="22"/>
          <w:szCs w:val="22"/>
        </w:rPr>
        <w:t>,</w:t>
      </w:r>
      <w:r w:rsidRPr="00810BA8">
        <w:rPr>
          <w:sz w:val="22"/>
          <w:szCs w:val="22"/>
        </w:rPr>
        <w:t xml:space="preserve"> al sugerir que algunos sistemas </w:t>
      </w:r>
      <w:r w:rsidRPr="00D027AB" w:rsidR="00324640">
        <w:rPr>
          <w:sz w:val="22"/>
          <w:szCs w:val="22"/>
        </w:rPr>
        <w:t>interactivamente</w:t>
      </w:r>
      <w:r w:rsidRPr="00810BA8">
        <w:rPr>
          <w:sz w:val="22"/>
          <w:szCs w:val="22"/>
        </w:rPr>
        <w:t xml:space="preserve"> complejos y estrechamente acoplados operan con muy pocos accidentes. Estas conclusiones se basan en estudios de dos portaaviones, el control del tráfico aéreo de los Estados Unidos, la gestión de redes eléctricas y equipos de bomberos</w:t>
      </w:r>
      <w:r w:rsidRPr="00D027AB" w:rsidR="003B4554">
        <w:rPr>
          <w:sz w:val="22"/>
          <w:szCs w:val="22"/>
        </w:rPr>
        <w:t>. Sin embargo, l</w:t>
      </w:r>
      <w:r w:rsidRPr="00810BA8" w:rsidR="003B4554">
        <w:rPr>
          <w:sz w:val="22"/>
          <w:szCs w:val="22"/>
        </w:rPr>
        <w:t xml:space="preserve">a falla más importante en este argumento es que los sistemas que estudiaron no son </w:t>
      </w:r>
      <w:r w:rsidRPr="00D027AB" w:rsidR="003D1381">
        <w:rPr>
          <w:sz w:val="22"/>
          <w:szCs w:val="22"/>
        </w:rPr>
        <w:t>interactivamente</w:t>
      </w:r>
      <w:r w:rsidRPr="00810BA8" w:rsidR="003B4554">
        <w:rPr>
          <w:sz w:val="22"/>
          <w:szCs w:val="22"/>
        </w:rPr>
        <w:t xml:space="preserve"> complejos ni estrechamente acoplados según las definiciones de Perrow. El control del tráfico aéreo (ATC), por ejemplo, es tan seguro precisamente porque el diseño del sistema está deliberadamente desacoplado para aumentar la seguridad</w:t>
      </w:r>
      <w:r w:rsidRPr="00D027AB" w:rsidR="00D027AB">
        <w:rPr>
          <w:sz w:val="22"/>
          <w:szCs w:val="22"/>
        </w:rPr>
        <w:t xml:space="preserve"> (</w:t>
      </w:r>
      <w:r w:rsidRPr="00D86BA2" w:rsidR="00D027AB">
        <w:rPr>
          <w:sz w:val="22"/>
          <w:szCs w:val="22"/>
        </w:rPr>
        <w:t>Marais, Dulac</w:t>
      </w:r>
      <w:r w:rsidRPr="00D027AB" w:rsidR="00D027AB">
        <w:rPr>
          <w:sz w:val="22"/>
          <w:szCs w:val="22"/>
        </w:rPr>
        <w:t xml:space="preserve"> y </w:t>
      </w:r>
      <w:proofErr w:type="spellStart"/>
      <w:r w:rsidRPr="00D86BA2" w:rsidR="00D027AB">
        <w:rPr>
          <w:sz w:val="22"/>
          <w:szCs w:val="22"/>
        </w:rPr>
        <w:t>Leveson</w:t>
      </w:r>
      <w:proofErr w:type="spellEnd"/>
      <w:r w:rsidRPr="00D027AB" w:rsidR="00D027AB">
        <w:rPr>
          <w:sz w:val="22"/>
          <w:szCs w:val="22"/>
        </w:rPr>
        <w:t xml:space="preserve"> 2004)</w:t>
      </w:r>
      <w:r w:rsidRPr="00810BA8" w:rsidR="00D027AB">
        <w:rPr>
          <w:sz w:val="22"/>
          <w:szCs w:val="22"/>
        </w:rPr>
        <w:t>.</w:t>
      </w:r>
    </w:p>
    <w:p w:rsidRPr="00DC11B7" w:rsidR="00994E8E" w:rsidP="00C43EC5" w:rsidRDefault="00994E8E" w14:paraId="435167D6" w14:textId="35441A5A">
      <w:pPr>
        <w:ind w:right="-234"/>
        <w:jc w:val="both"/>
        <w:rPr>
          <w:rFonts w:eastAsia="Arial" w:cs="Arial"/>
          <w:sz w:val="22"/>
          <w:szCs w:val="22"/>
        </w:rPr>
      </w:pPr>
      <w:r w:rsidRPr="00994E8E">
        <w:rPr>
          <w:sz w:val="22"/>
          <w:szCs w:val="22"/>
        </w:rPr>
        <w:t>En las Organizaciones de Alta Confiabilidad (HRO), como el sistema de control de tráfico aéreo (ATC), la seguridad se logra organizando el trabajo de manera muy estructurada y con amplios márgenes de control.</w:t>
      </w:r>
      <w:r w:rsidRPr="007153BF" w:rsidR="00AD35C1">
        <w:rPr>
          <w:sz w:val="22"/>
          <w:szCs w:val="22"/>
        </w:rPr>
        <w:t xml:space="preserve"> </w:t>
      </w:r>
      <w:r w:rsidRPr="00994E8E">
        <w:rPr>
          <w:sz w:val="22"/>
          <w:szCs w:val="22"/>
        </w:rPr>
        <w:t>El espacio aéreo se divide en sectores y en etapas del vuelo (ruta, llegada, despegue y aterrizaje), y el paso de una aeronave de un sector a otro está estrictamente regulado. Además, los aviones mantienen suficiente distancia entre sí para que, si ocurre un error, haya tiempo de corregirlo antes de que se convierta en un accidente.</w:t>
      </w:r>
      <w:r w:rsidR="00DC11B7">
        <w:rPr>
          <w:sz w:val="22"/>
          <w:szCs w:val="22"/>
        </w:rPr>
        <w:t xml:space="preserve"> </w:t>
      </w:r>
      <w:r w:rsidRPr="00994E8E" w:rsidR="00DC11B7">
        <w:rPr>
          <w:sz w:val="22"/>
          <w:szCs w:val="22"/>
        </w:rPr>
        <w:t>También se separan distintos tipos de operaciones (por ejemplo, vuelos visuales y vuelos por instrumentos) y se utilizan sistemas de alerta adicionales, como el TCAS, que ayudan a prevenir colisiones. En conjunto, estas medidas reducen la presión del sistema y permiten manejar los riesgos de forma controlada.</w:t>
      </w:r>
      <w:r w:rsidR="00DC11B7">
        <w:rPr>
          <w:sz w:val="22"/>
          <w:szCs w:val="22"/>
        </w:rPr>
        <w:t xml:space="preserve"> </w:t>
      </w:r>
    </w:p>
    <w:p w:rsidR="005C270D" w:rsidP="00C43EC5" w:rsidRDefault="00D01104" w14:paraId="5BA7E42B" w14:textId="77777777">
      <w:pPr>
        <w:ind w:right="-234"/>
        <w:jc w:val="both"/>
        <w:rPr>
          <w:sz w:val="22"/>
          <w:szCs w:val="22"/>
        </w:rPr>
      </w:pPr>
      <w:r>
        <w:rPr>
          <w:sz w:val="22"/>
          <w:szCs w:val="22"/>
        </w:rPr>
        <w:t xml:space="preserve">Según lo descrito por </w:t>
      </w:r>
      <w:r w:rsidRPr="00D86BA2">
        <w:rPr>
          <w:sz w:val="22"/>
          <w:szCs w:val="22"/>
        </w:rPr>
        <w:t>Marais, Dulac</w:t>
      </w:r>
      <w:r w:rsidRPr="00D027AB">
        <w:rPr>
          <w:sz w:val="22"/>
          <w:szCs w:val="22"/>
        </w:rPr>
        <w:t xml:space="preserve"> y </w:t>
      </w:r>
      <w:proofErr w:type="spellStart"/>
      <w:r w:rsidRPr="00D86BA2">
        <w:rPr>
          <w:sz w:val="22"/>
          <w:szCs w:val="22"/>
        </w:rPr>
        <w:t>Leveson</w:t>
      </w:r>
      <w:proofErr w:type="spellEnd"/>
      <w:r w:rsidRPr="00D027AB">
        <w:rPr>
          <w:sz w:val="22"/>
          <w:szCs w:val="22"/>
        </w:rPr>
        <w:t xml:space="preserve"> 2004</w:t>
      </w:r>
      <w:r>
        <w:rPr>
          <w:sz w:val="22"/>
          <w:szCs w:val="22"/>
        </w:rPr>
        <w:t>, l</w:t>
      </w:r>
      <w:r w:rsidRPr="0022581D" w:rsidR="0022581D">
        <w:rPr>
          <w:sz w:val="22"/>
          <w:szCs w:val="22"/>
        </w:rPr>
        <w:t xml:space="preserve">as personas en estas </w:t>
      </w:r>
      <w:r w:rsidR="00F02DFF">
        <w:rPr>
          <w:sz w:val="22"/>
          <w:szCs w:val="22"/>
        </w:rPr>
        <w:t xml:space="preserve">HRO </w:t>
      </w:r>
      <w:r w:rsidRPr="0022581D" w:rsidR="0022581D">
        <w:rPr>
          <w:sz w:val="22"/>
          <w:szCs w:val="22"/>
        </w:rPr>
        <w:t xml:space="preserve">conocen casi todo lo técnico acerca de lo que están haciendo y </w:t>
      </w:r>
      <w:r w:rsidR="00DF6A1A">
        <w:rPr>
          <w:sz w:val="22"/>
          <w:szCs w:val="22"/>
        </w:rPr>
        <w:t>no se confían</w:t>
      </w:r>
      <w:r w:rsidR="0064520E">
        <w:rPr>
          <w:sz w:val="22"/>
          <w:szCs w:val="22"/>
        </w:rPr>
        <w:t xml:space="preserve"> de la</w:t>
      </w:r>
      <w:r w:rsidRPr="0022581D" w:rsidR="0022581D">
        <w:rPr>
          <w:sz w:val="22"/>
          <w:szCs w:val="22"/>
        </w:rPr>
        <w:t xml:space="preserve"> suposición de que se han preparado para toda contingencia</w:t>
      </w:r>
      <w:r w:rsidR="0064520E">
        <w:rPr>
          <w:sz w:val="22"/>
          <w:szCs w:val="22"/>
        </w:rPr>
        <w:t>.</w:t>
      </w:r>
      <w:r w:rsidR="00062064">
        <w:rPr>
          <w:sz w:val="22"/>
          <w:szCs w:val="22"/>
        </w:rPr>
        <w:t xml:space="preserve"> Bajo esta mirada, la revisión teórica sugiere </w:t>
      </w:r>
      <w:r w:rsidRPr="001E26F1" w:rsidR="00062064">
        <w:rPr>
          <w:sz w:val="22"/>
          <w:szCs w:val="22"/>
        </w:rPr>
        <w:t xml:space="preserve">que </w:t>
      </w:r>
      <w:r w:rsidRPr="001E26F1" w:rsidR="001E26F1">
        <w:rPr>
          <w:sz w:val="22"/>
          <w:szCs w:val="22"/>
        </w:rPr>
        <w:t>e</w:t>
      </w:r>
      <w:r w:rsidRPr="00810BA8" w:rsidR="00062064">
        <w:rPr>
          <w:sz w:val="22"/>
          <w:szCs w:val="22"/>
        </w:rPr>
        <w:t xml:space="preserve">l hecho de que estos sistemas permitan un conocimiento perfecto contradice la definición de complejidad interactiva, que Perrow </w:t>
      </w:r>
      <w:r w:rsidR="001E26F1">
        <w:rPr>
          <w:sz w:val="22"/>
          <w:szCs w:val="22"/>
        </w:rPr>
        <w:t xml:space="preserve">en su teoría </w:t>
      </w:r>
      <w:r w:rsidRPr="00810BA8" w:rsidR="00062064">
        <w:rPr>
          <w:sz w:val="22"/>
          <w:szCs w:val="22"/>
        </w:rPr>
        <w:t xml:space="preserve">definió como diseños de sistemas para los cuales las interacciones entre componentes no podían ser completamente planificadas, comprendidas, predichas o protegidas. </w:t>
      </w:r>
    </w:p>
    <w:p w:rsidR="005769AD" w:rsidP="00C43EC5" w:rsidRDefault="00062064" w14:paraId="6ED1DE68" w14:textId="77777777">
      <w:pPr>
        <w:ind w:right="-234"/>
        <w:jc w:val="both"/>
        <w:rPr>
          <w:sz w:val="22"/>
          <w:szCs w:val="22"/>
        </w:rPr>
      </w:pPr>
      <w:r w:rsidRPr="00810BA8">
        <w:rPr>
          <w:sz w:val="22"/>
          <w:szCs w:val="22"/>
        </w:rPr>
        <w:t xml:space="preserve">Las HRO no son </w:t>
      </w:r>
      <w:r w:rsidRPr="001E26F1" w:rsidR="001E26F1">
        <w:rPr>
          <w:sz w:val="22"/>
          <w:szCs w:val="22"/>
        </w:rPr>
        <w:t>interactivamente</w:t>
      </w:r>
      <w:r w:rsidRPr="00810BA8">
        <w:rPr>
          <w:sz w:val="22"/>
          <w:szCs w:val="22"/>
        </w:rPr>
        <w:t xml:space="preserve"> complejas según las propias descripciones de los investigadores HRO. Sus requisitos básicos para ser una HRO omiten, por definición, sistemas </w:t>
      </w:r>
      <w:r w:rsidRPr="001E26F1" w:rsidR="001E26F1">
        <w:rPr>
          <w:sz w:val="22"/>
          <w:szCs w:val="22"/>
        </w:rPr>
        <w:t>interactivamente</w:t>
      </w:r>
      <w:r w:rsidRPr="00810BA8">
        <w:rPr>
          <w:sz w:val="22"/>
          <w:szCs w:val="22"/>
        </w:rPr>
        <w:t xml:space="preserve"> complejos y estrechamente acoplados</w:t>
      </w:r>
      <w:r w:rsidR="002E7F52">
        <w:rPr>
          <w:sz w:val="22"/>
          <w:szCs w:val="22"/>
        </w:rPr>
        <w:t>.</w:t>
      </w:r>
      <w:r w:rsidR="00880FA3">
        <w:rPr>
          <w:sz w:val="22"/>
          <w:szCs w:val="22"/>
        </w:rPr>
        <w:t xml:space="preserve"> En otras palabras, si se asegura el conocimiento técnico </w:t>
      </w:r>
      <w:r w:rsidR="006F574C">
        <w:rPr>
          <w:sz w:val="22"/>
          <w:szCs w:val="22"/>
        </w:rPr>
        <w:t>puede ser relativamente fácil reducir la probabilidad de materia</w:t>
      </w:r>
      <w:r w:rsidR="007E021A">
        <w:rPr>
          <w:sz w:val="22"/>
          <w:szCs w:val="22"/>
        </w:rPr>
        <w:t xml:space="preserve">lización de riesgos mediante la definición e implementación de controles estandarizados </w:t>
      </w:r>
      <w:r w:rsidR="00FF6581">
        <w:rPr>
          <w:sz w:val="22"/>
          <w:szCs w:val="22"/>
        </w:rPr>
        <w:t xml:space="preserve">de seguridad de sistema y seguridad industrial. No </w:t>
      </w:r>
      <w:r w:rsidRPr="00C85640" w:rsidR="00FF6581">
        <w:rPr>
          <w:sz w:val="22"/>
          <w:szCs w:val="22"/>
        </w:rPr>
        <w:t xml:space="preserve">obstante, la complejidad surge cuando aparece la incertidumbre </w:t>
      </w:r>
      <w:r w:rsidRPr="00810BA8" w:rsidR="00C85640">
        <w:rPr>
          <w:sz w:val="22"/>
          <w:szCs w:val="22"/>
        </w:rPr>
        <w:t>técnica, organizacional y social</w:t>
      </w:r>
      <w:r w:rsidR="00EC3704">
        <w:rPr>
          <w:sz w:val="22"/>
          <w:szCs w:val="22"/>
        </w:rPr>
        <w:t>, esta condición hace</w:t>
      </w:r>
      <w:r w:rsidRPr="00810BA8" w:rsidR="00C85640">
        <w:rPr>
          <w:sz w:val="22"/>
          <w:szCs w:val="22"/>
        </w:rPr>
        <w:t xml:space="preserve"> que la ingeniería sea difícil, desafiante y ocasionalmente infructuosa.</w:t>
      </w:r>
      <w:r w:rsidR="00992AB3">
        <w:rPr>
          <w:sz w:val="22"/>
          <w:szCs w:val="22"/>
        </w:rPr>
        <w:t xml:space="preserve"> </w:t>
      </w:r>
    </w:p>
    <w:p w:rsidR="0022581D" w:rsidP="00C43EC5" w:rsidRDefault="00992AB3" w14:paraId="31C80134" w14:textId="43DC2059">
      <w:pPr>
        <w:ind w:right="-234"/>
        <w:jc w:val="both"/>
        <w:rPr>
          <w:sz w:val="22"/>
          <w:szCs w:val="22"/>
        </w:rPr>
      </w:pPr>
      <w:r w:rsidRPr="00992AB3">
        <w:rPr>
          <w:sz w:val="22"/>
          <w:szCs w:val="22"/>
        </w:rPr>
        <w:lastRenderedPageBreak/>
        <w:t xml:space="preserve">Si fuera necesario resolver toda incertidumbre antes del uso u operación, como se requiere para las HRO, la mayoría de los </w:t>
      </w:r>
      <w:r w:rsidRPr="008D286C">
        <w:rPr>
          <w:sz w:val="22"/>
          <w:szCs w:val="22"/>
        </w:rPr>
        <w:t>sistemas de alto riesgo tendrían que cerrarse y funciones importantes proporcionadas en nuestra sociedad se detendrían</w:t>
      </w:r>
      <w:r w:rsidRPr="008D286C" w:rsidR="006E23CF">
        <w:rPr>
          <w:sz w:val="22"/>
          <w:szCs w:val="22"/>
        </w:rPr>
        <w:t xml:space="preserve">, tal y como sucedió con el accidente del transbordador Challenger, donde </w:t>
      </w:r>
      <w:r w:rsidRPr="008D286C" w:rsidR="00131836">
        <w:rPr>
          <w:sz w:val="22"/>
          <w:szCs w:val="22"/>
        </w:rPr>
        <w:t xml:space="preserve">se tienen </w:t>
      </w:r>
      <w:r w:rsidRPr="00810BA8" w:rsidR="00131836">
        <w:rPr>
          <w:sz w:val="22"/>
          <w:szCs w:val="22"/>
        </w:rPr>
        <w:t xml:space="preserve">más de 3000 exenciones (que permiten el vuelo aunque problemas potenciales no hayan sido completamente resueltos) de un total de más de 4000 componentes de </w:t>
      </w:r>
      <w:r w:rsidRPr="008D286C" w:rsidR="006A1AAB">
        <w:rPr>
          <w:sz w:val="22"/>
          <w:szCs w:val="22"/>
        </w:rPr>
        <w:t>c</w:t>
      </w:r>
      <w:r w:rsidRPr="00810BA8" w:rsidR="00131836">
        <w:rPr>
          <w:sz w:val="22"/>
          <w:szCs w:val="22"/>
        </w:rPr>
        <w:t>riticidad</w:t>
      </w:r>
      <w:r w:rsidRPr="008D286C" w:rsidR="00C6065E">
        <w:rPr>
          <w:sz w:val="22"/>
          <w:szCs w:val="22"/>
        </w:rPr>
        <w:t xml:space="preserve">, con este panorama </w:t>
      </w:r>
      <w:r w:rsidRPr="000D557B" w:rsidR="00C6065E">
        <w:rPr>
          <w:sz w:val="22"/>
          <w:szCs w:val="22"/>
        </w:rPr>
        <w:t>es apenas comprensible difícil d</w:t>
      </w:r>
      <w:r w:rsidRPr="00810BA8" w:rsidR="00131836">
        <w:rPr>
          <w:sz w:val="22"/>
          <w:szCs w:val="22"/>
        </w:rPr>
        <w:t xml:space="preserve">ecidir qué problemas pendientes deben </w:t>
      </w:r>
      <w:r w:rsidRPr="000D557B" w:rsidR="008D286C">
        <w:rPr>
          <w:sz w:val="22"/>
          <w:szCs w:val="22"/>
        </w:rPr>
        <w:t xml:space="preserve">ser </w:t>
      </w:r>
      <w:r w:rsidRPr="000D557B" w:rsidR="00C6065E">
        <w:rPr>
          <w:sz w:val="22"/>
          <w:szCs w:val="22"/>
        </w:rPr>
        <w:t>priorizados</w:t>
      </w:r>
      <w:r w:rsidRPr="000D557B" w:rsidR="008D286C">
        <w:rPr>
          <w:sz w:val="22"/>
          <w:szCs w:val="22"/>
        </w:rPr>
        <w:t>.</w:t>
      </w:r>
      <w:r w:rsidRPr="000D557B" w:rsidR="00592B41">
        <w:rPr>
          <w:sz w:val="22"/>
          <w:szCs w:val="22"/>
        </w:rPr>
        <w:t xml:space="preserve"> Lo anterior, sin contar que muchas veces l</w:t>
      </w:r>
      <w:r w:rsidRPr="00810BA8" w:rsidR="00592B41">
        <w:rPr>
          <w:sz w:val="22"/>
          <w:szCs w:val="22"/>
        </w:rPr>
        <w:t>as incertidumbres no son simplemente técnicas</w:t>
      </w:r>
      <w:r w:rsidRPr="000D557B" w:rsidR="00592B41">
        <w:rPr>
          <w:sz w:val="22"/>
          <w:szCs w:val="22"/>
        </w:rPr>
        <w:t xml:space="preserve">, contienen además </w:t>
      </w:r>
      <w:r w:rsidRPr="00810BA8" w:rsidR="00592B41">
        <w:rPr>
          <w:sz w:val="22"/>
          <w:szCs w:val="22"/>
        </w:rPr>
        <w:t xml:space="preserve">un entorno político y </w:t>
      </w:r>
      <w:r w:rsidRPr="000D557B" w:rsidR="00592B41">
        <w:rPr>
          <w:sz w:val="22"/>
          <w:szCs w:val="22"/>
        </w:rPr>
        <w:t xml:space="preserve">de acceso al presupuesto que se vuelve incierto y pueda cambiar de año a </w:t>
      </w:r>
      <w:r w:rsidRPr="000D557B" w:rsidR="00B0401C">
        <w:rPr>
          <w:sz w:val="22"/>
          <w:szCs w:val="22"/>
        </w:rPr>
        <w:t>año,</w:t>
      </w:r>
      <w:r w:rsidRPr="000D557B" w:rsidR="00592B41">
        <w:rPr>
          <w:sz w:val="22"/>
          <w:szCs w:val="22"/>
        </w:rPr>
        <w:t xml:space="preserve"> </w:t>
      </w:r>
      <w:r w:rsidRPr="000D557B" w:rsidR="00B0401C">
        <w:rPr>
          <w:sz w:val="22"/>
          <w:szCs w:val="22"/>
        </w:rPr>
        <w:t xml:space="preserve">así como los objetivos corporativos. </w:t>
      </w:r>
    </w:p>
    <w:p w:rsidRPr="00994E8E" w:rsidR="00D26A50" w:rsidP="00C43EC5" w:rsidRDefault="00D26A50" w14:paraId="1B62302C" w14:textId="5487746C">
      <w:pPr>
        <w:ind w:right="-234"/>
        <w:jc w:val="both"/>
        <w:rPr>
          <w:sz w:val="20"/>
          <w:szCs w:val="20"/>
        </w:rPr>
      </w:pPr>
      <w:r w:rsidRPr="00D26A50">
        <w:rPr>
          <w:sz w:val="22"/>
          <w:szCs w:val="22"/>
        </w:rPr>
        <w:t>Una característica distintiva importante en los sistemas de alto riesgo es la fuente del riesgo. En los portaaviones, el riesgo no proviene de la incertidumbre técnica ni siquiera de la estructura organizacional o de factores sociales, sino de la dificultad de la tarea que se controla</w:t>
      </w:r>
      <w:r w:rsidR="001701EF">
        <w:rPr>
          <w:sz w:val="22"/>
          <w:szCs w:val="22"/>
        </w:rPr>
        <w:t>, es decir, que el</w:t>
      </w:r>
      <w:r w:rsidRPr="00810BA8" w:rsidR="001701EF">
        <w:t xml:space="preserve"> </w:t>
      </w:r>
      <w:r w:rsidRPr="00810BA8" w:rsidR="001701EF">
        <w:rPr>
          <w:sz w:val="22"/>
          <w:szCs w:val="22"/>
        </w:rPr>
        <w:t>riesgo en el portaaviones proviene de la incertidumbre sobre el comportamiento del operador individual</w:t>
      </w:r>
      <w:r w:rsidR="00FE5350">
        <w:rPr>
          <w:sz w:val="22"/>
          <w:szCs w:val="22"/>
        </w:rPr>
        <w:t xml:space="preserve">, </w:t>
      </w:r>
      <w:r w:rsidRPr="00810BA8" w:rsidR="00FE5350">
        <w:rPr>
          <w:sz w:val="22"/>
          <w:szCs w:val="22"/>
        </w:rPr>
        <w:t>para el Transbordador es la incertidumbre sobre el comportamiento de los empleados que fabrican los componentes</w:t>
      </w:r>
      <w:r w:rsidR="00EC12CC">
        <w:rPr>
          <w:sz w:val="22"/>
          <w:szCs w:val="22"/>
        </w:rPr>
        <w:t xml:space="preserve">, </w:t>
      </w:r>
      <w:r w:rsidR="00657B4B">
        <w:rPr>
          <w:sz w:val="22"/>
          <w:szCs w:val="22"/>
        </w:rPr>
        <w:t>el entorno de la ingeniería y la toma de decisiones.</w:t>
      </w:r>
    </w:p>
    <w:p w:rsidR="0032270D" w:rsidP="00C43EC5" w:rsidRDefault="0032270D" w14:paraId="752ECEB1" w14:textId="6359A986">
      <w:pPr>
        <w:spacing w:after="0"/>
        <w:ind w:right="-142"/>
        <w:jc w:val="both"/>
        <w:rPr>
          <w:rFonts w:eastAsia="Arial" w:cs="Arial"/>
          <w:sz w:val="22"/>
          <w:szCs w:val="22"/>
        </w:rPr>
      </w:pPr>
      <w:r>
        <w:rPr>
          <w:rFonts w:eastAsia="Arial" w:cs="Arial"/>
          <w:sz w:val="22"/>
          <w:szCs w:val="22"/>
        </w:rPr>
        <w:t>Por</w:t>
      </w:r>
      <w:r w:rsidR="00973E53">
        <w:rPr>
          <w:rFonts w:eastAsia="Arial" w:cs="Arial"/>
          <w:sz w:val="22"/>
          <w:szCs w:val="22"/>
        </w:rPr>
        <w:t xml:space="preserve"> </w:t>
      </w:r>
      <w:r>
        <w:rPr>
          <w:rFonts w:eastAsia="Arial" w:cs="Arial"/>
          <w:sz w:val="22"/>
          <w:szCs w:val="22"/>
        </w:rPr>
        <w:t>su</w:t>
      </w:r>
      <w:r w:rsidR="00973E53">
        <w:rPr>
          <w:rFonts w:eastAsia="Arial" w:cs="Arial"/>
          <w:sz w:val="22"/>
          <w:szCs w:val="22"/>
        </w:rPr>
        <w:t xml:space="preserve"> </w:t>
      </w:r>
      <w:r>
        <w:rPr>
          <w:rFonts w:eastAsia="Arial" w:cs="Arial"/>
          <w:sz w:val="22"/>
          <w:szCs w:val="22"/>
        </w:rPr>
        <w:t>parte,</w:t>
      </w:r>
      <w:r w:rsidR="00973E53">
        <w:rPr>
          <w:rFonts w:eastAsia="Arial" w:cs="Arial"/>
          <w:sz w:val="22"/>
          <w:szCs w:val="22"/>
        </w:rPr>
        <w:t xml:space="preserve"> </w:t>
      </w:r>
      <w:r w:rsidR="002E0195">
        <w:rPr>
          <w:rFonts w:eastAsia="Arial" w:cs="Arial"/>
          <w:sz w:val="22"/>
          <w:szCs w:val="22"/>
        </w:rPr>
        <w:t>Cantero</w:t>
      </w:r>
      <w:r w:rsidR="00973E53">
        <w:rPr>
          <w:rFonts w:eastAsia="Arial" w:cs="Arial"/>
          <w:sz w:val="22"/>
          <w:szCs w:val="22"/>
        </w:rPr>
        <w:t xml:space="preserve"> </w:t>
      </w:r>
      <w:r w:rsidR="002E0195">
        <w:rPr>
          <w:rFonts w:eastAsia="Arial" w:cs="Arial"/>
          <w:sz w:val="22"/>
          <w:szCs w:val="22"/>
        </w:rPr>
        <w:t>(2007),</w:t>
      </w:r>
      <w:r w:rsidR="00973E53">
        <w:rPr>
          <w:rFonts w:eastAsia="Arial" w:cs="Arial"/>
          <w:sz w:val="22"/>
          <w:szCs w:val="22"/>
        </w:rPr>
        <w:t xml:space="preserve"> </w:t>
      </w:r>
      <w:r w:rsidR="002E0195">
        <w:rPr>
          <w:rFonts w:eastAsia="Arial" w:cs="Arial"/>
          <w:sz w:val="22"/>
          <w:szCs w:val="22"/>
        </w:rPr>
        <w:t>menciona</w:t>
      </w:r>
      <w:r w:rsidR="00973E53">
        <w:rPr>
          <w:rFonts w:eastAsia="Arial" w:cs="Arial"/>
          <w:sz w:val="22"/>
          <w:szCs w:val="22"/>
        </w:rPr>
        <w:t xml:space="preserve"> </w:t>
      </w:r>
      <w:r w:rsidR="002E0195">
        <w:rPr>
          <w:rFonts w:eastAsia="Arial" w:cs="Arial"/>
          <w:sz w:val="22"/>
          <w:szCs w:val="22"/>
        </w:rPr>
        <w:t>que</w:t>
      </w:r>
      <w:r w:rsidR="00973E53">
        <w:rPr>
          <w:rFonts w:eastAsia="Arial" w:cs="Arial"/>
          <w:sz w:val="22"/>
          <w:szCs w:val="22"/>
        </w:rPr>
        <w:t xml:space="preserve"> </w:t>
      </w:r>
      <w:r w:rsidR="002B6605">
        <w:rPr>
          <w:rFonts w:eastAsia="Arial" w:cs="Arial"/>
          <w:sz w:val="22"/>
          <w:szCs w:val="22"/>
        </w:rPr>
        <w:t>los</w:t>
      </w:r>
      <w:r w:rsidR="00973E53">
        <w:rPr>
          <w:rFonts w:eastAsia="Arial" w:cs="Arial"/>
          <w:sz w:val="22"/>
          <w:szCs w:val="22"/>
        </w:rPr>
        <w:t xml:space="preserve"> </w:t>
      </w:r>
      <w:r w:rsidR="002B6605">
        <w:rPr>
          <w:rFonts w:eastAsia="Arial" w:cs="Arial"/>
          <w:sz w:val="22"/>
          <w:szCs w:val="22"/>
        </w:rPr>
        <w:t>estudiosos</w:t>
      </w:r>
      <w:r w:rsidR="00973E53">
        <w:rPr>
          <w:rFonts w:eastAsia="Arial" w:cs="Arial"/>
          <w:sz w:val="22"/>
          <w:szCs w:val="22"/>
        </w:rPr>
        <w:t xml:space="preserve"> </w:t>
      </w:r>
      <w:r w:rsidR="002B6605">
        <w:rPr>
          <w:rFonts w:eastAsia="Arial" w:cs="Arial"/>
          <w:sz w:val="22"/>
          <w:szCs w:val="22"/>
        </w:rPr>
        <w:t>de</w:t>
      </w:r>
      <w:r w:rsidR="00973E53">
        <w:rPr>
          <w:rFonts w:eastAsia="Arial" w:cs="Arial"/>
          <w:sz w:val="22"/>
          <w:szCs w:val="22"/>
        </w:rPr>
        <w:t xml:space="preserve"> </w:t>
      </w:r>
      <w:r w:rsidR="002B6605">
        <w:rPr>
          <w:rFonts w:eastAsia="Arial" w:cs="Arial"/>
          <w:sz w:val="22"/>
          <w:szCs w:val="22"/>
        </w:rPr>
        <w:t>las</w:t>
      </w:r>
      <w:r w:rsidR="00973E53">
        <w:rPr>
          <w:rFonts w:eastAsia="Arial" w:cs="Arial"/>
          <w:sz w:val="22"/>
          <w:szCs w:val="22"/>
        </w:rPr>
        <w:t xml:space="preserve"> </w:t>
      </w:r>
      <w:r w:rsidR="002B6605">
        <w:rPr>
          <w:rFonts w:eastAsia="Arial" w:cs="Arial"/>
          <w:sz w:val="22"/>
          <w:szCs w:val="22"/>
        </w:rPr>
        <w:t>Organizaciones</w:t>
      </w:r>
      <w:r w:rsidR="00973E53">
        <w:rPr>
          <w:rFonts w:eastAsia="Arial" w:cs="Arial"/>
          <w:sz w:val="22"/>
          <w:szCs w:val="22"/>
        </w:rPr>
        <w:t xml:space="preserve"> </w:t>
      </w:r>
      <w:r w:rsidR="00D40663">
        <w:rPr>
          <w:rFonts w:eastAsia="Arial" w:cs="Arial"/>
          <w:sz w:val="22"/>
          <w:szCs w:val="22"/>
        </w:rPr>
        <w:t>de</w:t>
      </w:r>
      <w:r w:rsidR="00973E53">
        <w:rPr>
          <w:rFonts w:eastAsia="Arial" w:cs="Arial"/>
          <w:sz w:val="22"/>
          <w:szCs w:val="22"/>
        </w:rPr>
        <w:t xml:space="preserve"> </w:t>
      </w:r>
      <w:r w:rsidR="00D40663">
        <w:rPr>
          <w:rFonts w:eastAsia="Arial" w:cs="Arial"/>
          <w:sz w:val="22"/>
          <w:szCs w:val="22"/>
        </w:rPr>
        <w:t>Alta</w:t>
      </w:r>
      <w:r w:rsidR="00973E53">
        <w:rPr>
          <w:rFonts w:eastAsia="Arial" w:cs="Arial"/>
          <w:sz w:val="22"/>
          <w:szCs w:val="22"/>
        </w:rPr>
        <w:t xml:space="preserve"> </w:t>
      </w:r>
      <w:r w:rsidR="000C5992">
        <w:rPr>
          <w:rFonts w:eastAsia="Arial" w:cs="Arial"/>
          <w:sz w:val="22"/>
          <w:szCs w:val="22"/>
        </w:rPr>
        <w:t>Confiabilidad</w:t>
      </w:r>
      <w:r w:rsidR="00973E53">
        <w:rPr>
          <w:rFonts w:eastAsia="Arial" w:cs="Arial"/>
          <w:sz w:val="22"/>
          <w:szCs w:val="22"/>
        </w:rPr>
        <w:t xml:space="preserve"> </w:t>
      </w:r>
      <w:r w:rsidRPr="008F5015" w:rsidR="008F5015">
        <w:rPr>
          <w:rFonts w:eastAsia="Arial" w:cs="Arial"/>
          <w:sz w:val="22"/>
          <w:szCs w:val="22"/>
        </w:rPr>
        <w:t>parte</w:t>
      </w:r>
      <w:r w:rsidR="008F5015">
        <w:rPr>
          <w:rFonts w:eastAsia="Arial" w:cs="Arial"/>
          <w:sz w:val="22"/>
          <w:szCs w:val="22"/>
        </w:rPr>
        <w:t>n</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00A62B11">
        <w:rPr>
          <w:rFonts w:eastAsia="Arial" w:cs="Arial"/>
          <w:sz w:val="22"/>
          <w:szCs w:val="22"/>
        </w:rPr>
        <w:t>concepción</w:t>
      </w:r>
      <w:r w:rsidR="00973E53">
        <w:rPr>
          <w:rFonts w:eastAsia="Arial" w:cs="Arial"/>
          <w:sz w:val="22"/>
          <w:szCs w:val="22"/>
        </w:rPr>
        <w:t xml:space="preserve"> </w:t>
      </w:r>
      <w:r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que</w:t>
      </w:r>
      <w:r w:rsidR="00973E53">
        <w:rPr>
          <w:rFonts w:eastAsia="Arial" w:cs="Arial"/>
          <w:sz w:val="22"/>
          <w:szCs w:val="22"/>
        </w:rPr>
        <w:t xml:space="preserve"> </w:t>
      </w:r>
      <w:r w:rsidRPr="008F5015" w:rsidR="008F5015">
        <w:rPr>
          <w:rFonts w:eastAsia="Arial" w:cs="Arial"/>
          <w:sz w:val="22"/>
          <w:szCs w:val="22"/>
        </w:rPr>
        <w:t>puede</w:t>
      </w:r>
      <w:r w:rsidR="00973E53">
        <w:rPr>
          <w:rFonts w:eastAsia="Arial" w:cs="Arial"/>
          <w:sz w:val="22"/>
          <w:szCs w:val="22"/>
        </w:rPr>
        <w:t xml:space="preserve"> </w:t>
      </w:r>
      <w:r w:rsidRPr="008F5015" w:rsidR="008F5015">
        <w:rPr>
          <w:rFonts w:eastAsia="Arial" w:cs="Arial"/>
          <w:sz w:val="22"/>
          <w:szCs w:val="22"/>
        </w:rPr>
        <w:t>haber</w:t>
      </w:r>
      <w:r w:rsidR="00973E53">
        <w:rPr>
          <w:rFonts w:eastAsia="Arial" w:cs="Arial"/>
          <w:sz w:val="22"/>
          <w:szCs w:val="22"/>
        </w:rPr>
        <w:t xml:space="preserve"> </w:t>
      </w:r>
      <w:r w:rsidRPr="008F5015" w:rsidR="008F5015">
        <w:rPr>
          <w:rFonts w:eastAsia="Arial" w:cs="Arial"/>
          <w:sz w:val="22"/>
          <w:szCs w:val="22"/>
        </w:rPr>
        <w:t>ausencia</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accidentes</w:t>
      </w:r>
      <w:r w:rsidR="00973E53">
        <w:rPr>
          <w:rFonts w:eastAsia="Arial" w:cs="Arial"/>
          <w:sz w:val="22"/>
          <w:szCs w:val="22"/>
        </w:rPr>
        <w:t xml:space="preserve"> </w:t>
      </w:r>
      <w:r w:rsidRPr="008F5015" w:rsidR="008F5015">
        <w:rPr>
          <w:rFonts w:eastAsia="Arial" w:cs="Arial"/>
          <w:sz w:val="22"/>
          <w:szCs w:val="22"/>
        </w:rPr>
        <w:t>en</w:t>
      </w:r>
      <w:r w:rsidR="00973E53">
        <w:rPr>
          <w:rFonts w:eastAsia="Arial" w:cs="Arial"/>
          <w:sz w:val="22"/>
          <w:szCs w:val="22"/>
        </w:rPr>
        <w:t xml:space="preserve"> </w:t>
      </w:r>
      <w:r w:rsidRPr="008F5015" w:rsidR="008F5015">
        <w:rPr>
          <w:rFonts w:eastAsia="Arial" w:cs="Arial"/>
          <w:sz w:val="22"/>
          <w:szCs w:val="22"/>
        </w:rPr>
        <w:t>las</w:t>
      </w:r>
      <w:r w:rsidR="00973E53">
        <w:rPr>
          <w:rFonts w:eastAsia="Arial" w:cs="Arial"/>
          <w:sz w:val="22"/>
          <w:szCs w:val="22"/>
        </w:rPr>
        <w:t xml:space="preserve"> </w:t>
      </w:r>
      <w:r w:rsidRPr="008F5015" w:rsidR="008F5015">
        <w:rPr>
          <w:rFonts w:eastAsia="Arial" w:cs="Arial"/>
          <w:sz w:val="22"/>
          <w:szCs w:val="22"/>
        </w:rPr>
        <w:t>organizaciones</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alta</w:t>
      </w:r>
      <w:r w:rsidR="00973E53">
        <w:rPr>
          <w:rFonts w:eastAsia="Arial" w:cs="Arial"/>
          <w:sz w:val="22"/>
          <w:szCs w:val="22"/>
        </w:rPr>
        <w:t xml:space="preserve"> </w:t>
      </w:r>
      <w:r w:rsidRPr="008F5015" w:rsidR="008F5015">
        <w:rPr>
          <w:rFonts w:eastAsia="Arial" w:cs="Arial"/>
          <w:sz w:val="22"/>
          <w:szCs w:val="22"/>
        </w:rPr>
        <w:t>confiabilidad.</w:t>
      </w:r>
      <w:r w:rsidR="00973E53">
        <w:rPr>
          <w:rFonts w:eastAsia="Arial" w:cs="Arial"/>
          <w:sz w:val="22"/>
          <w:szCs w:val="22"/>
        </w:rPr>
        <w:t xml:space="preserve"> </w:t>
      </w:r>
      <w:r w:rsidRPr="008F5015" w:rsidR="008F5015">
        <w:rPr>
          <w:rFonts w:eastAsia="Arial" w:cs="Arial"/>
          <w:sz w:val="22"/>
          <w:szCs w:val="22"/>
        </w:rPr>
        <w:t>En</w:t>
      </w:r>
      <w:r w:rsidR="00973E53">
        <w:rPr>
          <w:rFonts w:eastAsia="Arial" w:cs="Arial"/>
          <w:sz w:val="22"/>
          <w:szCs w:val="22"/>
        </w:rPr>
        <w:t xml:space="preserve"> </w:t>
      </w:r>
      <w:r w:rsidRPr="008F5015" w:rsidR="008F5015">
        <w:rPr>
          <w:rFonts w:eastAsia="Arial" w:cs="Arial"/>
          <w:sz w:val="22"/>
          <w:szCs w:val="22"/>
        </w:rPr>
        <w:t>este</w:t>
      </w:r>
      <w:r w:rsidR="00973E53">
        <w:rPr>
          <w:rFonts w:eastAsia="Arial" w:cs="Arial"/>
          <w:sz w:val="22"/>
          <w:szCs w:val="22"/>
        </w:rPr>
        <w:t xml:space="preserve"> </w:t>
      </w:r>
      <w:r w:rsidRPr="008F5015" w:rsidR="008F5015">
        <w:rPr>
          <w:rFonts w:eastAsia="Arial" w:cs="Arial"/>
          <w:sz w:val="22"/>
          <w:szCs w:val="22"/>
        </w:rPr>
        <w:t>caso,</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búsqueda</w:t>
      </w:r>
      <w:r w:rsidR="00973E53">
        <w:rPr>
          <w:rFonts w:eastAsia="Arial" w:cs="Arial"/>
          <w:sz w:val="22"/>
          <w:szCs w:val="22"/>
        </w:rPr>
        <w:t xml:space="preserve"> </w:t>
      </w:r>
      <w:r w:rsidRPr="008F5015" w:rsidR="008F5015">
        <w:rPr>
          <w:rFonts w:eastAsia="Arial" w:cs="Arial"/>
          <w:sz w:val="22"/>
          <w:szCs w:val="22"/>
        </w:rPr>
        <w:t>se</w:t>
      </w:r>
      <w:r w:rsidR="00973E53">
        <w:rPr>
          <w:rFonts w:eastAsia="Arial" w:cs="Arial"/>
          <w:sz w:val="22"/>
          <w:szCs w:val="22"/>
        </w:rPr>
        <w:t xml:space="preserve"> </w:t>
      </w:r>
      <w:r w:rsidRPr="008F5015" w:rsidR="008F5015">
        <w:rPr>
          <w:rFonts w:eastAsia="Arial" w:cs="Arial"/>
          <w:sz w:val="22"/>
          <w:szCs w:val="22"/>
        </w:rPr>
        <w:t>orienta</w:t>
      </w:r>
      <w:r w:rsidR="00973E53">
        <w:rPr>
          <w:rFonts w:eastAsia="Arial" w:cs="Arial"/>
          <w:sz w:val="22"/>
          <w:szCs w:val="22"/>
        </w:rPr>
        <w:t xml:space="preserve"> </w:t>
      </w:r>
      <w:r w:rsidRPr="008F5015" w:rsidR="008F5015">
        <w:rPr>
          <w:rFonts w:eastAsia="Arial" w:cs="Arial"/>
          <w:sz w:val="22"/>
          <w:szCs w:val="22"/>
        </w:rPr>
        <w:t>hacia</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determinación</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las</w:t>
      </w:r>
      <w:r w:rsidR="00973E53">
        <w:rPr>
          <w:rFonts w:eastAsia="Arial" w:cs="Arial"/>
          <w:sz w:val="22"/>
          <w:szCs w:val="22"/>
        </w:rPr>
        <w:t xml:space="preserve"> </w:t>
      </w:r>
      <w:r w:rsidRPr="008F5015" w:rsidR="008F5015">
        <w:rPr>
          <w:rFonts w:eastAsia="Arial" w:cs="Arial"/>
          <w:sz w:val="22"/>
          <w:szCs w:val="22"/>
        </w:rPr>
        <w:t>razones</w:t>
      </w:r>
      <w:r w:rsidR="00973E53">
        <w:rPr>
          <w:rFonts w:eastAsia="Arial" w:cs="Arial"/>
          <w:sz w:val="22"/>
          <w:szCs w:val="22"/>
        </w:rPr>
        <w:t xml:space="preserve"> </w:t>
      </w:r>
      <w:r w:rsidRPr="008F5015" w:rsidR="008F5015">
        <w:rPr>
          <w:rFonts w:eastAsia="Arial" w:cs="Arial"/>
          <w:sz w:val="22"/>
          <w:szCs w:val="22"/>
        </w:rPr>
        <w:t>y</w:t>
      </w:r>
      <w:r w:rsidR="00973E53">
        <w:rPr>
          <w:rFonts w:eastAsia="Arial" w:cs="Arial"/>
          <w:sz w:val="22"/>
          <w:szCs w:val="22"/>
        </w:rPr>
        <w:t xml:space="preserve"> </w:t>
      </w:r>
      <w:r w:rsidRPr="008F5015" w:rsidR="008F5015">
        <w:rPr>
          <w:rFonts w:eastAsia="Arial" w:cs="Arial"/>
          <w:sz w:val="22"/>
          <w:szCs w:val="22"/>
        </w:rPr>
        <w:t>los</w:t>
      </w:r>
      <w:r w:rsidR="00973E53">
        <w:rPr>
          <w:rFonts w:eastAsia="Arial" w:cs="Arial"/>
          <w:sz w:val="22"/>
          <w:szCs w:val="22"/>
        </w:rPr>
        <w:t xml:space="preserve"> </w:t>
      </w:r>
      <w:r w:rsidRPr="008F5015" w:rsidR="008F5015">
        <w:rPr>
          <w:rFonts w:eastAsia="Arial" w:cs="Arial"/>
          <w:sz w:val="22"/>
          <w:szCs w:val="22"/>
        </w:rPr>
        <w:t>mecanismos</w:t>
      </w:r>
      <w:r w:rsidR="00973E53">
        <w:rPr>
          <w:rFonts w:eastAsia="Arial" w:cs="Arial"/>
          <w:sz w:val="22"/>
          <w:szCs w:val="22"/>
        </w:rPr>
        <w:t xml:space="preserve"> </w:t>
      </w:r>
      <w:r w:rsidRPr="008F5015" w:rsidR="008F5015">
        <w:rPr>
          <w:rFonts w:eastAsia="Arial" w:cs="Arial"/>
          <w:sz w:val="22"/>
          <w:szCs w:val="22"/>
        </w:rPr>
        <w:t>organizacionales</w:t>
      </w:r>
      <w:r w:rsidR="00973E53">
        <w:rPr>
          <w:rFonts w:eastAsia="Arial" w:cs="Arial"/>
          <w:sz w:val="22"/>
          <w:szCs w:val="22"/>
        </w:rPr>
        <w:t xml:space="preserve"> </w:t>
      </w:r>
      <w:r w:rsidRPr="008F5015" w:rsidR="008F5015">
        <w:rPr>
          <w:rFonts w:eastAsia="Arial" w:cs="Arial"/>
          <w:sz w:val="22"/>
          <w:szCs w:val="22"/>
        </w:rPr>
        <w:t>que</w:t>
      </w:r>
      <w:r w:rsidR="00973E53">
        <w:rPr>
          <w:rFonts w:eastAsia="Arial" w:cs="Arial"/>
          <w:sz w:val="22"/>
          <w:szCs w:val="22"/>
        </w:rPr>
        <w:t xml:space="preserve"> </w:t>
      </w:r>
      <w:r w:rsidRPr="008F5015" w:rsidR="008F5015">
        <w:rPr>
          <w:rFonts w:eastAsia="Arial" w:cs="Arial"/>
          <w:sz w:val="22"/>
          <w:szCs w:val="22"/>
        </w:rPr>
        <w:t>generan</w:t>
      </w:r>
      <w:r w:rsidR="00973E53">
        <w:rPr>
          <w:rFonts w:eastAsia="Arial" w:cs="Arial"/>
          <w:sz w:val="22"/>
          <w:szCs w:val="22"/>
        </w:rPr>
        <w:t xml:space="preserve"> </w:t>
      </w:r>
      <w:r w:rsidR="00397BAF">
        <w:rPr>
          <w:rFonts w:eastAsia="Arial" w:cs="Arial"/>
          <w:sz w:val="22"/>
          <w:szCs w:val="22"/>
        </w:rPr>
        <w:t>funcionamientos</w:t>
      </w:r>
      <w:r w:rsidR="00973E53">
        <w:rPr>
          <w:rFonts w:eastAsia="Arial" w:cs="Arial"/>
          <w:sz w:val="22"/>
          <w:szCs w:val="22"/>
        </w:rPr>
        <w:t xml:space="preserve"> </w:t>
      </w:r>
      <w:r w:rsidRPr="008F5015" w:rsidR="008F5015">
        <w:rPr>
          <w:rFonts w:eastAsia="Arial" w:cs="Arial"/>
          <w:sz w:val="22"/>
          <w:szCs w:val="22"/>
        </w:rPr>
        <w:t>altamente</w:t>
      </w:r>
      <w:r w:rsidR="00973E53">
        <w:rPr>
          <w:rFonts w:eastAsia="Arial" w:cs="Arial"/>
          <w:sz w:val="22"/>
          <w:szCs w:val="22"/>
        </w:rPr>
        <w:t xml:space="preserve"> </w:t>
      </w:r>
      <w:r w:rsidRPr="008F5015" w:rsidR="008F5015">
        <w:rPr>
          <w:rFonts w:eastAsia="Arial" w:cs="Arial"/>
          <w:sz w:val="22"/>
          <w:szCs w:val="22"/>
        </w:rPr>
        <w:t>fiables.</w:t>
      </w:r>
      <w:r w:rsidR="00973E53">
        <w:rPr>
          <w:rFonts w:eastAsia="Arial" w:cs="Arial"/>
          <w:sz w:val="22"/>
          <w:szCs w:val="22"/>
        </w:rPr>
        <w:t xml:space="preserve"> </w:t>
      </w:r>
      <w:r w:rsidRPr="008F5015" w:rsidR="008F5015">
        <w:rPr>
          <w:rFonts w:eastAsia="Arial" w:cs="Arial"/>
          <w:sz w:val="22"/>
          <w:szCs w:val="22"/>
        </w:rPr>
        <w:t>En</w:t>
      </w:r>
      <w:r w:rsidR="00973E53">
        <w:rPr>
          <w:rFonts w:eastAsia="Arial" w:cs="Arial"/>
          <w:sz w:val="22"/>
          <w:szCs w:val="22"/>
        </w:rPr>
        <w:t xml:space="preserve"> </w:t>
      </w:r>
      <w:r w:rsidRPr="008F5015" w:rsidR="008F5015">
        <w:rPr>
          <w:rFonts w:eastAsia="Arial" w:cs="Arial"/>
          <w:sz w:val="22"/>
          <w:szCs w:val="22"/>
        </w:rPr>
        <w:t>cierta</w:t>
      </w:r>
      <w:r w:rsidR="00973E53">
        <w:rPr>
          <w:rFonts w:eastAsia="Arial" w:cs="Arial"/>
          <w:sz w:val="22"/>
          <w:szCs w:val="22"/>
        </w:rPr>
        <w:t xml:space="preserve"> </w:t>
      </w:r>
      <w:r w:rsidRPr="008F5015" w:rsidR="008F5015">
        <w:rPr>
          <w:rFonts w:eastAsia="Arial" w:cs="Arial"/>
          <w:sz w:val="22"/>
          <w:szCs w:val="22"/>
        </w:rPr>
        <w:t>medida,</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teoría</w:t>
      </w:r>
      <w:r w:rsidR="00973E53">
        <w:rPr>
          <w:rFonts w:eastAsia="Arial" w:cs="Arial"/>
          <w:sz w:val="22"/>
          <w:szCs w:val="22"/>
        </w:rPr>
        <w:t xml:space="preserve"> </w:t>
      </w:r>
      <w:r w:rsidRPr="008F5015" w:rsidR="008F5015">
        <w:rPr>
          <w:rFonts w:eastAsia="Arial" w:cs="Arial"/>
          <w:sz w:val="22"/>
          <w:szCs w:val="22"/>
        </w:rPr>
        <w:t>HRO</w:t>
      </w:r>
      <w:r w:rsidR="00973E53">
        <w:rPr>
          <w:rFonts w:eastAsia="Arial" w:cs="Arial"/>
          <w:sz w:val="22"/>
          <w:szCs w:val="22"/>
        </w:rPr>
        <w:t xml:space="preserve"> </w:t>
      </w:r>
      <w:r w:rsidRPr="008F5015" w:rsidR="008F5015">
        <w:rPr>
          <w:rFonts w:eastAsia="Arial" w:cs="Arial"/>
          <w:sz w:val="22"/>
          <w:szCs w:val="22"/>
        </w:rPr>
        <w:t>invierte</w:t>
      </w:r>
      <w:r w:rsidR="00973E53">
        <w:rPr>
          <w:rFonts w:eastAsia="Arial" w:cs="Arial"/>
          <w:sz w:val="22"/>
          <w:szCs w:val="22"/>
        </w:rPr>
        <w:t xml:space="preserve"> </w:t>
      </w:r>
      <w:r w:rsidRPr="008F5015" w:rsidR="008F5015">
        <w:rPr>
          <w:rFonts w:eastAsia="Arial" w:cs="Arial"/>
          <w:sz w:val="22"/>
          <w:szCs w:val="22"/>
        </w:rPr>
        <w:t>los</w:t>
      </w:r>
      <w:r w:rsidR="00973E53">
        <w:rPr>
          <w:rFonts w:eastAsia="Arial" w:cs="Arial"/>
          <w:sz w:val="22"/>
          <w:szCs w:val="22"/>
        </w:rPr>
        <w:t xml:space="preserve"> </w:t>
      </w:r>
      <w:r w:rsidRPr="008F5015" w:rsidR="008F5015">
        <w:rPr>
          <w:rFonts w:eastAsia="Arial" w:cs="Arial"/>
          <w:sz w:val="22"/>
          <w:szCs w:val="22"/>
        </w:rPr>
        <w:t>términos</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NAT</w:t>
      </w:r>
      <w:r w:rsidR="00973E53">
        <w:rPr>
          <w:rFonts w:eastAsia="Arial" w:cs="Arial"/>
          <w:sz w:val="22"/>
          <w:szCs w:val="22"/>
        </w:rPr>
        <w:t xml:space="preserve"> </w:t>
      </w:r>
      <w:r w:rsidRPr="008F5015" w:rsidR="008F5015">
        <w:rPr>
          <w:rFonts w:eastAsia="Arial" w:cs="Arial"/>
          <w:sz w:val="22"/>
          <w:szCs w:val="22"/>
        </w:rPr>
        <w:t>transformando</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pregunta</w:t>
      </w:r>
      <w:r w:rsidR="00973E53">
        <w:rPr>
          <w:rFonts w:eastAsia="Arial" w:cs="Arial"/>
          <w:sz w:val="22"/>
          <w:szCs w:val="22"/>
        </w:rPr>
        <w:t xml:space="preserve"> </w:t>
      </w:r>
      <w:r w:rsidRPr="008F5015" w:rsidR="008F5015">
        <w:rPr>
          <w:rFonts w:eastAsia="Arial" w:cs="Arial"/>
          <w:sz w:val="22"/>
          <w:szCs w:val="22"/>
        </w:rPr>
        <w:t>¿por</w:t>
      </w:r>
      <w:r w:rsidR="00973E53">
        <w:rPr>
          <w:rFonts w:eastAsia="Arial" w:cs="Arial"/>
          <w:sz w:val="22"/>
          <w:szCs w:val="22"/>
        </w:rPr>
        <w:t xml:space="preserve"> </w:t>
      </w:r>
      <w:r w:rsidRPr="008F5015" w:rsidR="008F5015">
        <w:rPr>
          <w:rFonts w:eastAsia="Arial" w:cs="Arial"/>
          <w:sz w:val="22"/>
          <w:szCs w:val="22"/>
        </w:rPr>
        <w:t>qué</w:t>
      </w:r>
      <w:r w:rsidR="00973E53">
        <w:rPr>
          <w:rFonts w:eastAsia="Arial" w:cs="Arial"/>
          <w:sz w:val="22"/>
          <w:szCs w:val="22"/>
        </w:rPr>
        <w:t xml:space="preserve"> </w:t>
      </w:r>
      <w:r w:rsidRPr="008F5015" w:rsidR="008F5015">
        <w:rPr>
          <w:rFonts w:eastAsia="Arial" w:cs="Arial"/>
          <w:sz w:val="22"/>
          <w:szCs w:val="22"/>
        </w:rPr>
        <w:t>se</w:t>
      </w:r>
      <w:r w:rsidR="00973E53">
        <w:rPr>
          <w:rFonts w:eastAsia="Arial" w:cs="Arial"/>
          <w:sz w:val="22"/>
          <w:szCs w:val="22"/>
        </w:rPr>
        <w:t xml:space="preserve"> </w:t>
      </w:r>
      <w:r w:rsidRPr="008F5015" w:rsidR="008F5015">
        <w:rPr>
          <w:rFonts w:eastAsia="Arial" w:cs="Arial"/>
          <w:sz w:val="22"/>
          <w:szCs w:val="22"/>
        </w:rPr>
        <w:t>producen</w:t>
      </w:r>
      <w:r w:rsidR="00973E53">
        <w:rPr>
          <w:rFonts w:eastAsia="Arial" w:cs="Arial"/>
          <w:sz w:val="22"/>
          <w:szCs w:val="22"/>
        </w:rPr>
        <w:t xml:space="preserve"> </w:t>
      </w:r>
      <w:r w:rsidRPr="008F5015" w:rsidR="008F5015">
        <w:rPr>
          <w:rFonts w:eastAsia="Arial" w:cs="Arial"/>
          <w:sz w:val="22"/>
          <w:szCs w:val="22"/>
        </w:rPr>
        <w:t>los</w:t>
      </w:r>
      <w:r w:rsidR="00973E53">
        <w:rPr>
          <w:rFonts w:eastAsia="Arial" w:cs="Arial"/>
          <w:sz w:val="22"/>
          <w:szCs w:val="22"/>
        </w:rPr>
        <w:t xml:space="preserve"> </w:t>
      </w:r>
      <w:r w:rsidRPr="008F5015" w:rsidR="008F5015">
        <w:rPr>
          <w:rFonts w:eastAsia="Arial" w:cs="Arial"/>
          <w:sz w:val="22"/>
          <w:szCs w:val="22"/>
        </w:rPr>
        <w:t>accidentes?,</w:t>
      </w:r>
      <w:r w:rsidR="00973E53">
        <w:rPr>
          <w:rFonts w:eastAsia="Arial" w:cs="Arial"/>
          <w:sz w:val="22"/>
          <w:szCs w:val="22"/>
        </w:rPr>
        <w:t xml:space="preserve"> </w:t>
      </w:r>
      <w:r w:rsidRPr="008F5015" w:rsidR="008F5015">
        <w:rPr>
          <w:rFonts w:eastAsia="Arial" w:cs="Arial"/>
          <w:sz w:val="22"/>
          <w:szCs w:val="22"/>
        </w:rPr>
        <w:t>en</w:t>
      </w:r>
      <w:r w:rsidR="00973E53">
        <w:rPr>
          <w:rFonts w:eastAsia="Arial" w:cs="Arial"/>
          <w:sz w:val="22"/>
          <w:szCs w:val="22"/>
        </w:rPr>
        <w:t xml:space="preserve"> </w:t>
      </w:r>
      <w:r w:rsidRPr="008F5015" w:rsidR="008F5015">
        <w:rPr>
          <w:rFonts w:eastAsia="Arial" w:cs="Arial"/>
          <w:sz w:val="22"/>
          <w:szCs w:val="22"/>
        </w:rPr>
        <w:t>¿por</w:t>
      </w:r>
      <w:r w:rsidR="00973E53">
        <w:rPr>
          <w:rFonts w:eastAsia="Arial" w:cs="Arial"/>
          <w:sz w:val="22"/>
          <w:szCs w:val="22"/>
        </w:rPr>
        <w:t xml:space="preserve"> </w:t>
      </w:r>
      <w:r w:rsidRPr="008F5015" w:rsidR="008F5015">
        <w:rPr>
          <w:rFonts w:eastAsia="Arial" w:cs="Arial"/>
          <w:sz w:val="22"/>
          <w:szCs w:val="22"/>
        </w:rPr>
        <w:t>qué</w:t>
      </w:r>
      <w:r w:rsidR="00973E53">
        <w:rPr>
          <w:rFonts w:eastAsia="Arial" w:cs="Arial"/>
          <w:sz w:val="22"/>
          <w:szCs w:val="22"/>
        </w:rPr>
        <w:t xml:space="preserve"> </w:t>
      </w:r>
      <w:r w:rsidRPr="008F5015" w:rsidR="008F5015">
        <w:rPr>
          <w:rFonts w:eastAsia="Arial" w:cs="Arial"/>
          <w:sz w:val="22"/>
          <w:szCs w:val="22"/>
        </w:rPr>
        <w:t>no</w:t>
      </w:r>
      <w:r w:rsidR="00973E53">
        <w:rPr>
          <w:rFonts w:eastAsia="Arial" w:cs="Arial"/>
          <w:sz w:val="22"/>
          <w:szCs w:val="22"/>
        </w:rPr>
        <w:t xml:space="preserve"> </w:t>
      </w:r>
      <w:r w:rsidRPr="008F5015" w:rsidR="008F5015">
        <w:rPr>
          <w:rFonts w:eastAsia="Arial" w:cs="Arial"/>
          <w:sz w:val="22"/>
          <w:szCs w:val="22"/>
        </w:rPr>
        <w:t>se</w:t>
      </w:r>
      <w:r w:rsidR="00973E53">
        <w:rPr>
          <w:rFonts w:eastAsia="Arial" w:cs="Arial"/>
          <w:sz w:val="22"/>
          <w:szCs w:val="22"/>
        </w:rPr>
        <w:t xml:space="preserve"> </w:t>
      </w:r>
      <w:r w:rsidRPr="008F5015" w:rsidR="008F5015">
        <w:rPr>
          <w:rFonts w:eastAsia="Arial" w:cs="Arial"/>
          <w:sz w:val="22"/>
          <w:szCs w:val="22"/>
        </w:rPr>
        <w:t>producen</w:t>
      </w:r>
      <w:r w:rsidR="00973E53">
        <w:rPr>
          <w:rFonts w:eastAsia="Arial" w:cs="Arial"/>
          <w:sz w:val="22"/>
          <w:szCs w:val="22"/>
        </w:rPr>
        <w:t xml:space="preserve"> </w:t>
      </w:r>
      <w:r w:rsidRPr="008F5015" w:rsidR="008F5015">
        <w:rPr>
          <w:rFonts w:eastAsia="Arial" w:cs="Arial"/>
          <w:sz w:val="22"/>
          <w:szCs w:val="22"/>
        </w:rPr>
        <w:t>los</w:t>
      </w:r>
      <w:r w:rsidR="00973E53">
        <w:rPr>
          <w:rFonts w:eastAsia="Arial" w:cs="Arial"/>
          <w:sz w:val="22"/>
          <w:szCs w:val="22"/>
        </w:rPr>
        <w:t xml:space="preserve"> </w:t>
      </w:r>
      <w:r w:rsidRPr="008F5015" w:rsidR="002F397C">
        <w:rPr>
          <w:rFonts w:eastAsia="Arial" w:cs="Arial"/>
          <w:sz w:val="22"/>
          <w:szCs w:val="22"/>
        </w:rPr>
        <w:t>accidentes</w:t>
      </w:r>
      <w:r w:rsidR="002F397C">
        <w:rPr>
          <w:rFonts w:eastAsia="Arial" w:cs="Arial"/>
          <w:sz w:val="22"/>
          <w:szCs w:val="22"/>
        </w:rPr>
        <w:t>?</w:t>
      </w:r>
      <w:r w:rsidR="005A30A0">
        <w:rPr>
          <w:rFonts w:eastAsia="Arial" w:cs="Arial"/>
          <w:sz w:val="22"/>
          <w:szCs w:val="22"/>
        </w:rPr>
        <w:t xml:space="preserve">, </w:t>
      </w:r>
      <w:r w:rsidR="00BF2644">
        <w:rPr>
          <w:rFonts w:eastAsia="Arial" w:cs="Arial"/>
          <w:sz w:val="22"/>
          <w:szCs w:val="22"/>
        </w:rPr>
        <w:t>c</w:t>
      </w:r>
      <w:r w:rsidR="002F397C">
        <w:rPr>
          <w:rFonts w:eastAsia="Arial" w:cs="Arial"/>
          <w:sz w:val="22"/>
          <w:szCs w:val="22"/>
        </w:rPr>
        <w:t>on</w:t>
      </w:r>
      <w:r w:rsidR="00973E53">
        <w:rPr>
          <w:rFonts w:eastAsia="Arial" w:cs="Arial"/>
          <w:sz w:val="22"/>
          <w:szCs w:val="22"/>
        </w:rPr>
        <w:t xml:space="preserve"> </w:t>
      </w:r>
      <w:r w:rsidR="002640CD">
        <w:rPr>
          <w:rFonts w:eastAsia="Arial" w:cs="Arial"/>
          <w:sz w:val="22"/>
          <w:szCs w:val="22"/>
        </w:rPr>
        <w:t>un</w:t>
      </w:r>
      <w:r w:rsidR="00973E53">
        <w:rPr>
          <w:rFonts w:eastAsia="Arial" w:cs="Arial"/>
          <w:sz w:val="22"/>
          <w:szCs w:val="22"/>
        </w:rPr>
        <w:t xml:space="preserve"> </w:t>
      </w:r>
      <w:r w:rsidR="002640CD">
        <w:rPr>
          <w:rFonts w:eastAsia="Arial" w:cs="Arial"/>
          <w:sz w:val="22"/>
          <w:szCs w:val="22"/>
        </w:rPr>
        <w:t>e</w:t>
      </w:r>
      <w:r w:rsidRPr="008F5015" w:rsidR="008F5015">
        <w:rPr>
          <w:rFonts w:eastAsia="Arial" w:cs="Arial"/>
          <w:sz w:val="22"/>
          <w:szCs w:val="22"/>
        </w:rPr>
        <w:t>nfoque</w:t>
      </w:r>
      <w:r w:rsidR="00973E53">
        <w:rPr>
          <w:rFonts w:eastAsia="Arial" w:cs="Arial"/>
          <w:sz w:val="22"/>
          <w:szCs w:val="22"/>
        </w:rPr>
        <w:t xml:space="preserve"> </w:t>
      </w:r>
      <w:r w:rsidRPr="008F5015" w:rsidR="008F5015">
        <w:rPr>
          <w:rFonts w:eastAsia="Arial" w:cs="Arial"/>
          <w:sz w:val="22"/>
          <w:szCs w:val="22"/>
        </w:rPr>
        <w:t>eminentemente</w:t>
      </w:r>
      <w:r w:rsidR="00973E53">
        <w:rPr>
          <w:rFonts w:eastAsia="Arial" w:cs="Arial"/>
          <w:sz w:val="22"/>
          <w:szCs w:val="22"/>
        </w:rPr>
        <w:t xml:space="preserve"> </w:t>
      </w:r>
      <w:r w:rsidRPr="008F5015" w:rsidR="008F5015">
        <w:rPr>
          <w:rFonts w:eastAsia="Arial" w:cs="Arial"/>
          <w:sz w:val="22"/>
          <w:szCs w:val="22"/>
        </w:rPr>
        <w:t>empírico,</w:t>
      </w:r>
      <w:r w:rsidR="00973E53">
        <w:rPr>
          <w:rFonts w:eastAsia="Arial" w:cs="Arial"/>
          <w:sz w:val="22"/>
          <w:szCs w:val="22"/>
        </w:rPr>
        <w:t xml:space="preserve"> </w:t>
      </w:r>
      <w:r w:rsidRPr="008F5015" w:rsidR="008F5015">
        <w:rPr>
          <w:rFonts w:eastAsia="Arial" w:cs="Arial"/>
          <w:sz w:val="22"/>
          <w:szCs w:val="22"/>
        </w:rPr>
        <w:t>el</w:t>
      </w:r>
      <w:r w:rsidR="00973E53">
        <w:rPr>
          <w:rFonts w:eastAsia="Arial" w:cs="Arial"/>
          <w:sz w:val="22"/>
          <w:szCs w:val="22"/>
        </w:rPr>
        <w:t xml:space="preserve"> </w:t>
      </w:r>
      <w:r w:rsidRPr="008F5015" w:rsidR="008F5015">
        <w:rPr>
          <w:rFonts w:eastAsia="Arial" w:cs="Arial"/>
          <w:sz w:val="22"/>
          <w:szCs w:val="22"/>
        </w:rPr>
        <w:t>grupo</w:t>
      </w:r>
      <w:r w:rsidR="00973E53">
        <w:rPr>
          <w:rFonts w:eastAsia="Arial" w:cs="Arial"/>
          <w:sz w:val="22"/>
          <w:szCs w:val="22"/>
        </w:rPr>
        <w:t xml:space="preserve"> </w:t>
      </w:r>
      <w:r w:rsidRPr="008F5015" w:rsidR="008F5015">
        <w:rPr>
          <w:rFonts w:eastAsia="Arial" w:cs="Arial"/>
          <w:sz w:val="22"/>
          <w:szCs w:val="22"/>
        </w:rPr>
        <w:t>HRO</w:t>
      </w:r>
      <w:r w:rsidR="00973E53">
        <w:rPr>
          <w:rFonts w:eastAsia="Arial" w:cs="Arial"/>
          <w:sz w:val="22"/>
          <w:szCs w:val="22"/>
        </w:rPr>
        <w:t xml:space="preserve"> </w:t>
      </w:r>
      <w:r w:rsidRPr="008F5015" w:rsidR="008F5015">
        <w:rPr>
          <w:rFonts w:eastAsia="Arial" w:cs="Arial"/>
          <w:sz w:val="22"/>
          <w:szCs w:val="22"/>
        </w:rPr>
        <w:t>ha</w:t>
      </w:r>
      <w:r w:rsidR="00973E53">
        <w:rPr>
          <w:rFonts w:eastAsia="Arial" w:cs="Arial"/>
          <w:sz w:val="22"/>
          <w:szCs w:val="22"/>
        </w:rPr>
        <w:t xml:space="preserve"> </w:t>
      </w:r>
      <w:r w:rsidRPr="008F5015" w:rsidR="008F5015">
        <w:rPr>
          <w:rFonts w:eastAsia="Arial" w:cs="Arial"/>
          <w:sz w:val="22"/>
          <w:szCs w:val="22"/>
        </w:rPr>
        <w:t>focalizado</w:t>
      </w:r>
      <w:r w:rsidR="00973E53">
        <w:rPr>
          <w:rFonts w:eastAsia="Arial" w:cs="Arial"/>
          <w:sz w:val="22"/>
          <w:szCs w:val="22"/>
        </w:rPr>
        <w:t xml:space="preserve"> </w:t>
      </w:r>
      <w:r w:rsidRPr="008F5015" w:rsidR="008F5015">
        <w:rPr>
          <w:rFonts w:eastAsia="Arial" w:cs="Arial"/>
          <w:sz w:val="22"/>
          <w:szCs w:val="22"/>
        </w:rPr>
        <w:t>sus</w:t>
      </w:r>
      <w:r w:rsidR="00973E53">
        <w:rPr>
          <w:rFonts w:eastAsia="Arial" w:cs="Arial"/>
          <w:sz w:val="22"/>
          <w:szCs w:val="22"/>
        </w:rPr>
        <w:t xml:space="preserve"> </w:t>
      </w:r>
      <w:r w:rsidRPr="008F5015" w:rsidR="008F5015">
        <w:rPr>
          <w:rFonts w:eastAsia="Arial" w:cs="Arial"/>
          <w:sz w:val="22"/>
          <w:szCs w:val="22"/>
        </w:rPr>
        <w:t>estudios</w:t>
      </w:r>
      <w:r w:rsidR="00973E53">
        <w:rPr>
          <w:rFonts w:eastAsia="Arial" w:cs="Arial"/>
          <w:sz w:val="22"/>
          <w:szCs w:val="22"/>
        </w:rPr>
        <w:t xml:space="preserve"> </w:t>
      </w:r>
      <w:r w:rsidRPr="008F5015" w:rsidR="008F5015">
        <w:rPr>
          <w:rFonts w:eastAsia="Arial" w:cs="Arial"/>
          <w:sz w:val="22"/>
          <w:szCs w:val="22"/>
        </w:rPr>
        <w:t>en</w:t>
      </w:r>
      <w:r w:rsidR="00973E53">
        <w:rPr>
          <w:rFonts w:eastAsia="Arial" w:cs="Arial"/>
          <w:sz w:val="22"/>
          <w:szCs w:val="22"/>
        </w:rPr>
        <w:t xml:space="preserve"> </w:t>
      </w:r>
      <w:r w:rsidRPr="008F5015" w:rsidR="008F5015">
        <w:rPr>
          <w:rFonts w:eastAsia="Arial" w:cs="Arial"/>
          <w:sz w:val="22"/>
          <w:szCs w:val="22"/>
        </w:rPr>
        <w:t>el</w:t>
      </w:r>
      <w:r w:rsidR="00973E53">
        <w:rPr>
          <w:rFonts w:eastAsia="Arial" w:cs="Arial"/>
          <w:sz w:val="22"/>
          <w:szCs w:val="22"/>
        </w:rPr>
        <w:t xml:space="preserve"> </w:t>
      </w:r>
      <w:r w:rsidRPr="008F5015" w:rsidR="008F5015">
        <w:rPr>
          <w:rFonts w:eastAsia="Arial" w:cs="Arial"/>
          <w:sz w:val="22"/>
          <w:szCs w:val="22"/>
        </w:rPr>
        <w:t>sistema</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control</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navegación</w:t>
      </w:r>
      <w:r w:rsidR="00973E53">
        <w:rPr>
          <w:rFonts w:eastAsia="Arial" w:cs="Arial"/>
          <w:sz w:val="22"/>
          <w:szCs w:val="22"/>
        </w:rPr>
        <w:t xml:space="preserve"> </w:t>
      </w:r>
      <w:r w:rsidRPr="008F5015" w:rsidR="008F5015">
        <w:rPr>
          <w:rFonts w:eastAsia="Arial" w:cs="Arial"/>
          <w:sz w:val="22"/>
          <w:szCs w:val="22"/>
        </w:rPr>
        <w:t>aérea,</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gestión</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red</w:t>
      </w:r>
      <w:r w:rsidR="00973E53">
        <w:rPr>
          <w:rFonts w:eastAsia="Arial" w:cs="Arial"/>
          <w:sz w:val="22"/>
          <w:szCs w:val="22"/>
        </w:rPr>
        <w:t xml:space="preserve"> </w:t>
      </w:r>
      <w:r w:rsidRPr="008F5015" w:rsidR="008F5015">
        <w:rPr>
          <w:rFonts w:eastAsia="Arial" w:cs="Arial"/>
          <w:sz w:val="22"/>
          <w:szCs w:val="22"/>
        </w:rPr>
        <w:t>eléctrica,</w:t>
      </w:r>
      <w:r w:rsidR="00973E53">
        <w:rPr>
          <w:rFonts w:eastAsia="Arial" w:cs="Arial"/>
          <w:sz w:val="22"/>
          <w:szCs w:val="22"/>
        </w:rPr>
        <w:t xml:space="preserve"> </w:t>
      </w:r>
      <w:r w:rsidRPr="008F5015" w:rsidR="008F5015">
        <w:rPr>
          <w:rFonts w:eastAsia="Arial" w:cs="Arial"/>
          <w:sz w:val="22"/>
          <w:szCs w:val="22"/>
        </w:rPr>
        <w:t>la</w:t>
      </w:r>
      <w:r w:rsidR="00973E53">
        <w:rPr>
          <w:rFonts w:eastAsia="Arial" w:cs="Arial"/>
          <w:sz w:val="22"/>
          <w:szCs w:val="22"/>
        </w:rPr>
        <w:t xml:space="preserve"> </w:t>
      </w:r>
      <w:r w:rsidRPr="008F5015" w:rsidR="008F5015">
        <w:rPr>
          <w:rFonts w:eastAsia="Arial" w:cs="Arial"/>
          <w:sz w:val="22"/>
          <w:szCs w:val="22"/>
        </w:rPr>
        <w:t>explotación</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centrales</w:t>
      </w:r>
      <w:r w:rsidR="00973E53">
        <w:rPr>
          <w:rFonts w:eastAsia="Arial" w:cs="Arial"/>
          <w:sz w:val="22"/>
          <w:szCs w:val="22"/>
        </w:rPr>
        <w:t xml:space="preserve"> </w:t>
      </w:r>
      <w:r w:rsidRPr="008F5015" w:rsidR="008F5015">
        <w:rPr>
          <w:rFonts w:eastAsia="Arial" w:cs="Arial"/>
          <w:sz w:val="22"/>
          <w:szCs w:val="22"/>
        </w:rPr>
        <w:t>nucleares</w:t>
      </w:r>
      <w:r w:rsidR="00973E53">
        <w:rPr>
          <w:rFonts w:eastAsia="Arial" w:cs="Arial"/>
          <w:sz w:val="22"/>
          <w:szCs w:val="22"/>
        </w:rPr>
        <w:t xml:space="preserve"> </w:t>
      </w:r>
      <w:r w:rsidRPr="008F5015" w:rsidR="008F5015">
        <w:rPr>
          <w:rFonts w:eastAsia="Arial" w:cs="Arial"/>
          <w:sz w:val="22"/>
          <w:szCs w:val="22"/>
        </w:rPr>
        <w:t>y</w:t>
      </w:r>
      <w:r w:rsidR="00973E53">
        <w:rPr>
          <w:rFonts w:eastAsia="Arial" w:cs="Arial"/>
          <w:sz w:val="22"/>
          <w:szCs w:val="22"/>
        </w:rPr>
        <w:t xml:space="preserve"> </w:t>
      </w:r>
      <w:r w:rsidRPr="008F5015" w:rsidR="008F5015">
        <w:rPr>
          <w:rFonts w:eastAsia="Arial" w:cs="Arial"/>
          <w:sz w:val="22"/>
          <w:szCs w:val="22"/>
        </w:rPr>
        <w:t>las</w:t>
      </w:r>
      <w:r w:rsidR="00973E53">
        <w:rPr>
          <w:rFonts w:eastAsia="Arial" w:cs="Arial"/>
          <w:sz w:val="22"/>
          <w:szCs w:val="22"/>
        </w:rPr>
        <w:t xml:space="preserve"> </w:t>
      </w:r>
      <w:r w:rsidRPr="008F5015" w:rsidR="008F5015">
        <w:rPr>
          <w:rFonts w:eastAsia="Arial" w:cs="Arial"/>
          <w:sz w:val="22"/>
          <w:szCs w:val="22"/>
        </w:rPr>
        <w:t>actividades</w:t>
      </w:r>
      <w:r w:rsidR="00973E53">
        <w:rPr>
          <w:rFonts w:eastAsia="Arial" w:cs="Arial"/>
          <w:sz w:val="22"/>
          <w:szCs w:val="22"/>
        </w:rPr>
        <w:t xml:space="preserve"> </w:t>
      </w:r>
      <w:r w:rsidRPr="008F5015" w:rsidR="008F5015">
        <w:rPr>
          <w:rFonts w:eastAsia="Arial" w:cs="Arial"/>
          <w:sz w:val="22"/>
          <w:szCs w:val="22"/>
        </w:rPr>
        <w:t>de</w:t>
      </w:r>
      <w:r w:rsidR="00973E53">
        <w:rPr>
          <w:rFonts w:eastAsia="Arial" w:cs="Arial"/>
          <w:sz w:val="22"/>
          <w:szCs w:val="22"/>
        </w:rPr>
        <w:t xml:space="preserve"> </w:t>
      </w:r>
      <w:r w:rsidRPr="008F5015" w:rsidR="008F5015">
        <w:rPr>
          <w:rFonts w:eastAsia="Arial" w:cs="Arial"/>
          <w:sz w:val="22"/>
          <w:szCs w:val="22"/>
        </w:rPr>
        <w:t>un</w:t>
      </w:r>
      <w:r w:rsidR="00973E53">
        <w:rPr>
          <w:rFonts w:eastAsia="Arial" w:cs="Arial"/>
          <w:sz w:val="22"/>
          <w:szCs w:val="22"/>
        </w:rPr>
        <w:t xml:space="preserve"> </w:t>
      </w:r>
      <w:r w:rsidRPr="008F5015" w:rsidR="008F5015">
        <w:rPr>
          <w:rFonts w:eastAsia="Arial" w:cs="Arial"/>
          <w:sz w:val="22"/>
          <w:szCs w:val="22"/>
        </w:rPr>
        <w:t>portaaviones</w:t>
      </w:r>
      <w:r w:rsidR="00973E53">
        <w:rPr>
          <w:rFonts w:eastAsia="Arial" w:cs="Arial"/>
          <w:sz w:val="22"/>
          <w:szCs w:val="22"/>
        </w:rPr>
        <w:t xml:space="preserve"> </w:t>
      </w:r>
      <w:r w:rsidRPr="008F5015" w:rsidR="008F5015">
        <w:rPr>
          <w:rFonts w:eastAsia="Arial" w:cs="Arial"/>
          <w:sz w:val="22"/>
          <w:szCs w:val="22"/>
        </w:rPr>
        <w:t>norteamericano.</w:t>
      </w:r>
    </w:p>
    <w:p w:rsidR="00AD0CCB" w:rsidP="007B752B" w:rsidRDefault="00AD0CCB" w14:paraId="053FC448" w14:textId="77777777">
      <w:pPr>
        <w:spacing w:after="0"/>
        <w:ind w:left="-567" w:right="-142"/>
        <w:jc w:val="both"/>
        <w:rPr>
          <w:rFonts w:eastAsia="Arial" w:cs="Arial"/>
          <w:sz w:val="22"/>
          <w:szCs w:val="22"/>
        </w:rPr>
      </w:pPr>
    </w:p>
    <w:p w:rsidR="00045B04" w:rsidP="00C43EC5" w:rsidRDefault="00AD0CCB" w14:paraId="0BBB85F5" w14:textId="0BFD15DE">
      <w:pPr>
        <w:spacing w:after="0"/>
        <w:ind w:right="-142"/>
        <w:jc w:val="both"/>
        <w:rPr>
          <w:sz w:val="22"/>
          <w:szCs w:val="22"/>
        </w:rPr>
      </w:pPr>
      <w:r w:rsidRPr="006D011E">
        <w:rPr>
          <w:rFonts w:eastAsia="Arial" w:cs="Arial"/>
          <w:sz w:val="22"/>
          <w:szCs w:val="22"/>
        </w:rPr>
        <w:t xml:space="preserve">Así las cosas, cada teoría desarrolla sus argumentos bajo </w:t>
      </w:r>
      <w:r w:rsidRPr="006D011E" w:rsidR="00582FDC">
        <w:rPr>
          <w:rFonts w:eastAsia="Arial" w:cs="Arial"/>
          <w:sz w:val="22"/>
          <w:szCs w:val="22"/>
        </w:rPr>
        <w:t xml:space="preserve">fundamentos que difieren y se contradicen entre sí, no obstante, </w:t>
      </w:r>
      <w:r w:rsidRPr="00D86BA2" w:rsidR="00E72421">
        <w:rPr>
          <w:sz w:val="22"/>
          <w:szCs w:val="22"/>
        </w:rPr>
        <w:t>Marais, Dulac</w:t>
      </w:r>
      <w:r w:rsidRPr="006D011E" w:rsidR="00E72421">
        <w:rPr>
          <w:sz w:val="22"/>
          <w:szCs w:val="22"/>
        </w:rPr>
        <w:t xml:space="preserve"> y </w:t>
      </w:r>
      <w:proofErr w:type="spellStart"/>
      <w:r w:rsidRPr="00D86BA2" w:rsidR="00E72421">
        <w:rPr>
          <w:sz w:val="22"/>
          <w:szCs w:val="22"/>
        </w:rPr>
        <w:t>Leveson</w:t>
      </w:r>
      <w:proofErr w:type="spellEnd"/>
      <w:r w:rsidRPr="006D011E" w:rsidR="00E72421">
        <w:rPr>
          <w:sz w:val="22"/>
          <w:szCs w:val="22"/>
        </w:rPr>
        <w:t xml:space="preserve"> 2004, mencionan en su investigación </w:t>
      </w:r>
      <w:r w:rsidRPr="006D011E" w:rsidR="003B1303">
        <w:rPr>
          <w:sz w:val="22"/>
          <w:szCs w:val="22"/>
        </w:rPr>
        <w:t xml:space="preserve">la identificación </w:t>
      </w:r>
      <w:r w:rsidRPr="006D011E" w:rsidR="006D011E">
        <w:rPr>
          <w:sz w:val="22"/>
          <w:szCs w:val="22"/>
        </w:rPr>
        <w:t xml:space="preserve">de </w:t>
      </w:r>
      <w:r w:rsidRPr="00810BA8" w:rsidR="003B1303">
        <w:rPr>
          <w:sz w:val="22"/>
          <w:szCs w:val="22"/>
        </w:rPr>
        <w:t xml:space="preserve">cuatro características organizacionales primarias que supuestamente limitarán sustancialmente los accidentes y las “fallas” y simultáneamente resultarán en altos niveles de desempeño: </w:t>
      </w:r>
      <w:r w:rsidR="00C9343A">
        <w:rPr>
          <w:sz w:val="22"/>
          <w:szCs w:val="22"/>
        </w:rPr>
        <w:t xml:space="preserve">en primer lugar, </w:t>
      </w:r>
      <w:r w:rsidRPr="00546FE7" w:rsidR="00033A31">
        <w:rPr>
          <w:i/>
          <w:iCs/>
          <w:sz w:val="22"/>
          <w:szCs w:val="22"/>
        </w:rPr>
        <w:t>la</w:t>
      </w:r>
      <w:r w:rsidRPr="00810BA8" w:rsidR="003B1303">
        <w:rPr>
          <w:i/>
          <w:iCs/>
          <w:sz w:val="22"/>
          <w:szCs w:val="22"/>
        </w:rPr>
        <w:t xml:space="preserve"> priorización tanto de la seguridad como del desempeño y consenso sobre los objetivos en toda la organización</w:t>
      </w:r>
      <w:r w:rsidR="00BE466C">
        <w:rPr>
          <w:i/>
          <w:iCs/>
          <w:sz w:val="22"/>
          <w:szCs w:val="22"/>
        </w:rPr>
        <w:t xml:space="preserve"> </w:t>
      </w:r>
      <w:r w:rsidRPr="003F7858" w:rsidR="00BE466C">
        <w:rPr>
          <w:sz w:val="22"/>
          <w:szCs w:val="22"/>
        </w:rPr>
        <w:t>(</w:t>
      </w:r>
      <w:r w:rsidRPr="003F7858" w:rsidR="003F7858">
        <w:rPr>
          <w:sz w:val="22"/>
          <w:szCs w:val="22"/>
        </w:rPr>
        <w:t xml:space="preserve">La Porte </w:t>
      </w:r>
      <w:proofErr w:type="spellStart"/>
      <w:r w:rsidRPr="003F7858" w:rsidR="003F7858">
        <w:rPr>
          <w:sz w:val="22"/>
          <w:szCs w:val="22"/>
        </w:rPr>
        <w:t>et.al</w:t>
      </w:r>
      <w:proofErr w:type="spellEnd"/>
      <w:r w:rsidRPr="003F7858" w:rsidR="003F7858">
        <w:rPr>
          <w:sz w:val="22"/>
          <w:szCs w:val="22"/>
        </w:rPr>
        <w:t xml:space="preserve"> 1991)</w:t>
      </w:r>
      <w:r w:rsidR="00546FE7">
        <w:rPr>
          <w:sz w:val="22"/>
          <w:szCs w:val="22"/>
        </w:rPr>
        <w:t xml:space="preserve">, en segundo lugar, </w:t>
      </w:r>
      <w:r w:rsidRPr="00546FE7" w:rsidR="00546FE7">
        <w:rPr>
          <w:i/>
          <w:iCs/>
          <w:sz w:val="22"/>
          <w:szCs w:val="22"/>
        </w:rPr>
        <w:t xml:space="preserve">la </w:t>
      </w:r>
      <w:r w:rsidRPr="00810BA8" w:rsidR="003B1303">
        <w:rPr>
          <w:i/>
          <w:iCs/>
          <w:sz w:val="22"/>
          <w:szCs w:val="22"/>
        </w:rPr>
        <w:t>promoción de una “cultura de confiabilidad” en operaciones simultáneamente descentralizadas y centralizadas</w:t>
      </w:r>
      <w:r w:rsidRPr="00810BA8" w:rsidR="003B1303">
        <w:rPr>
          <w:sz w:val="22"/>
          <w:szCs w:val="22"/>
        </w:rPr>
        <w:t xml:space="preserve"> </w:t>
      </w:r>
      <w:r w:rsidR="0017659C">
        <w:rPr>
          <w:sz w:val="22"/>
          <w:szCs w:val="22"/>
        </w:rPr>
        <w:t>(Weick, 1987)</w:t>
      </w:r>
      <w:r w:rsidR="00546FE7">
        <w:rPr>
          <w:sz w:val="22"/>
          <w:szCs w:val="22"/>
        </w:rPr>
        <w:t xml:space="preserve">, en tercer lugar, </w:t>
      </w:r>
      <w:r w:rsidRPr="00546FE7" w:rsidR="00546FE7">
        <w:rPr>
          <w:i/>
          <w:iCs/>
          <w:sz w:val="22"/>
          <w:szCs w:val="22"/>
        </w:rPr>
        <w:t xml:space="preserve">el </w:t>
      </w:r>
      <w:r w:rsidRPr="00810BA8" w:rsidR="003B1303">
        <w:rPr>
          <w:i/>
          <w:iCs/>
          <w:sz w:val="22"/>
          <w:szCs w:val="22"/>
        </w:rPr>
        <w:t>uso del aprendizaje organizacional que maximiza el aprendizaje a partir de accidentes, incidentes y casi accidentes</w:t>
      </w:r>
      <w:r w:rsidRPr="00810BA8" w:rsidR="003B1303">
        <w:rPr>
          <w:sz w:val="22"/>
          <w:szCs w:val="22"/>
        </w:rPr>
        <w:t xml:space="preserve"> </w:t>
      </w:r>
      <w:r w:rsidRPr="003F7858" w:rsidR="00CD3FE7">
        <w:rPr>
          <w:sz w:val="22"/>
          <w:szCs w:val="22"/>
        </w:rPr>
        <w:t xml:space="preserve">(La Porte </w:t>
      </w:r>
      <w:proofErr w:type="spellStart"/>
      <w:r w:rsidRPr="003F7858" w:rsidR="00CD3FE7">
        <w:rPr>
          <w:sz w:val="22"/>
          <w:szCs w:val="22"/>
        </w:rPr>
        <w:t>et.al</w:t>
      </w:r>
      <w:proofErr w:type="spellEnd"/>
      <w:r w:rsidRPr="003F7858" w:rsidR="00CD3FE7">
        <w:rPr>
          <w:sz w:val="22"/>
          <w:szCs w:val="22"/>
        </w:rPr>
        <w:t xml:space="preserve"> 1991)</w:t>
      </w:r>
      <w:r w:rsidR="00CD3FE7">
        <w:rPr>
          <w:sz w:val="22"/>
          <w:szCs w:val="22"/>
        </w:rPr>
        <w:t xml:space="preserve">, </w:t>
      </w:r>
      <w:r w:rsidRPr="00810BA8" w:rsidR="003B1303">
        <w:rPr>
          <w:sz w:val="22"/>
          <w:szCs w:val="22"/>
        </w:rPr>
        <w:t xml:space="preserve">y </w:t>
      </w:r>
      <w:r w:rsidR="00546FE7">
        <w:rPr>
          <w:sz w:val="22"/>
          <w:szCs w:val="22"/>
        </w:rPr>
        <w:t xml:space="preserve">en cuarto lugar, </w:t>
      </w:r>
      <w:r w:rsidRPr="00546FE7" w:rsidR="00546FE7">
        <w:rPr>
          <w:i/>
          <w:iCs/>
          <w:sz w:val="22"/>
          <w:szCs w:val="22"/>
        </w:rPr>
        <w:t>el</w:t>
      </w:r>
      <w:r w:rsidRPr="00810BA8" w:rsidR="003B1303">
        <w:rPr>
          <w:i/>
          <w:iCs/>
          <w:sz w:val="22"/>
          <w:szCs w:val="22"/>
        </w:rPr>
        <w:t xml:space="preserve"> uso extensivo de redundancia</w:t>
      </w:r>
      <w:r w:rsidR="00DC4C8C">
        <w:rPr>
          <w:i/>
          <w:iCs/>
          <w:sz w:val="22"/>
          <w:szCs w:val="22"/>
        </w:rPr>
        <w:t xml:space="preserve"> (</w:t>
      </w:r>
      <w:r w:rsidR="008B03BC">
        <w:rPr>
          <w:i/>
          <w:iCs/>
          <w:sz w:val="22"/>
          <w:szCs w:val="22"/>
        </w:rPr>
        <w:t>Rochlin et. al 1987)</w:t>
      </w:r>
      <w:r w:rsidRPr="00810BA8" w:rsidR="003B1303">
        <w:rPr>
          <w:sz w:val="22"/>
          <w:szCs w:val="22"/>
        </w:rPr>
        <w:t xml:space="preserve">. </w:t>
      </w:r>
      <w:r w:rsidRPr="006D011E" w:rsidR="00E72421">
        <w:rPr>
          <w:sz w:val="22"/>
          <w:szCs w:val="22"/>
        </w:rPr>
        <w:t xml:space="preserve"> </w:t>
      </w:r>
      <w:r w:rsidR="008B03BC">
        <w:rPr>
          <w:sz w:val="22"/>
          <w:szCs w:val="22"/>
        </w:rPr>
        <w:t>A continuación, se describen brevemente</w:t>
      </w:r>
      <w:r w:rsidR="00045B04">
        <w:rPr>
          <w:sz w:val="22"/>
          <w:szCs w:val="22"/>
        </w:rPr>
        <w:t xml:space="preserve"> cada una de las cuatro características:</w:t>
      </w:r>
    </w:p>
    <w:p w:rsidR="00725429" w:rsidP="00C43EC5" w:rsidRDefault="00725429" w14:paraId="17F525F9" w14:textId="77777777">
      <w:pPr>
        <w:spacing w:after="0"/>
        <w:ind w:right="-142"/>
        <w:jc w:val="both"/>
        <w:rPr>
          <w:sz w:val="22"/>
          <w:szCs w:val="22"/>
        </w:rPr>
      </w:pPr>
    </w:p>
    <w:p w:rsidRPr="00E21ACE" w:rsidR="00E21ACE" w:rsidP="00C43EC5" w:rsidRDefault="00725429" w14:paraId="14BEC9CB" w14:textId="5BD40058">
      <w:pPr>
        <w:spacing w:after="0"/>
        <w:ind w:right="-142"/>
        <w:jc w:val="both"/>
        <w:rPr>
          <w:sz w:val="22"/>
          <w:szCs w:val="22"/>
        </w:rPr>
      </w:pPr>
      <w:r w:rsidRPr="00725429">
        <w:rPr>
          <w:i/>
          <w:iCs/>
          <w:sz w:val="22"/>
          <w:szCs w:val="22"/>
        </w:rPr>
        <w:t>Priorización de objetivos y consenso</w:t>
      </w:r>
      <w:r>
        <w:rPr>
          <w:i/>
          <w:iCs/>
          <w:sz w:val="22"/>
          <w:szCs w:val="22"/>
        </w:rPr>
        <w:t>.</w:t>
      </w:r>
      <w:r w:rsidR="00E21ACE">
        <w:rPr>
          <w:i/>
          <w:iCs/>
          <w:sz w:val="22"/>
          <w:szCs w:val="22"/>
        </w:rPr>
        <w:t xml:space="preserve"> </w:t>
      </w:r>
      <w:r w:rsidRPr="00E21ACE" w:rsidR="00E21ACE">
        <w:rPr>
          <w:sz w:val="22"/>
          <w:szCs w:val="22"/>
        </w:rPr>
        <w:t xml:space="preserve">En las Organizaciones de Alta Confiabilidad (HRO) se plantea que la seguridad y el desempeño pueden priorizarse simultáneamente y que existe un consenso </w:t>
      </w:r>
      <w:r w:rsidRPr="00E21ACE" w:rsidR="00E21ACE">
        <w:rPr>
          <w:sz w:val="22"/>
          <w:szCs w:val="22"/>
        </w:rPr>
        <w:lastRenderedPageBreak/>
        <w:t>claro sobre estos objetivos. Sin embargo, en la práctica esto casi nunca ocurre, porque los objetivos de seguridad suelen entrar en conflicto con metas como productividad, rapidez, financiamiento o supervivencia institucional.</w:t>
      </w:r>
      <w:r w:rsidR="00C048E0">
        <w:rPr>
          <w:sz w:val="22"/>
          <w:szCs w:val="22"/>
        </w:rPr>
        <w:t xml:space="preserve"> </w:t>
      </w:r>
      <w:r w:rsidRPr="00E21ACE" w:rsidR="00E21ACE">
        <w:rPr>
          <w:sz w:val="22"/>
          <w:szCs w:val="22"/>
        </w:rPr>
        <w:t xml:space="preserve">En contextos donde la seguridad es el propósito central </w:t>
      </w:r>
      <w:r w:rsidR="00C048E0">
        <w:rPr>
          <w:sz w:val="22"/>
          <w:szCs w:val="22"/>
        </w:rPr>
        <w:t>(</w:t>
      </w:r>
      <w:r w:rsidRPr="00E21ACE" w:rsidR="00E21ACE">
        <w:rPr>
          <w:sz w:val="22"/>
          <w:szCs w:val="22"/>
        </w:rPr>
        <w:t>como portaaviones en tiempos de paz o el control aéreo</w:t>
      </w:r>
      <w:r w:rsidR="00C048E0">
        <w:rPr>
          <w:sz w:val="22"/>
          <w:szCs w:val="22"/>
        </w:rPr>
        <w:t xml:space="preserve">) </w:t>
      </w:r>
      <w:r w:rsidRPr="00E21ACE" w:rsidR="00E21ACE">
        <w:rPr>
          <w:sz w:val="22"/>
          <w:szCs w:val="22"/>
        </w:rPr>
        <w:t>priorizarla resulta más sencillo. Pero cuando existen presiones operativas, políticas o económicas (por ejemplo, en tiempos de guerra o en el programa espacial de la NASA), la seguridad compite con otros objetivos estratégicos.</w:t>
      </w:r>
      <w:r w:rsidR="0011299A">
        <w:rPr>
          <w:sz w:val="22"/>
          <w:szCs w:val="22"/>
        </w:rPr>
        <w:t xml:space="preserve"> </w:t>
      </w:r>
      <w:r w:rsidRPr="00E21ACE" w:rsidR="00E21ACE">
        <w:rPr>
          <w:sz w:val="22"/>
          <w:szCs w:val="22"/>
        </w:rPr>
        <w:t>Además, las presiones externas, los intereses individuales y la subcontratación generan conflictos adicionales que pueden debilitar la prioridad real de la seguridad, aunque públicamente se afirme lo contrario. En definitiva, la seguridad no es un principio absoluto sino una cuestión de gestión de riesgos y compensaciones, donde decidir cuánto riesgo es aceptable se vuelve el verdadero desafío.</w:t>
      </w:r>
    </w:p>
    <w:p w:rsidR="00077EA5" w:rsidP="00C43EC5" w:rsidRDefault="00077EA5" w14:paraId="60B88D16" w14:textId="77777777">
      <w:pPr>
        <w:spacing w:after="0"/>
        <w:ind w:right="-142"/>
        <w:jc w:val="both"/>
        <w:rPr>
          <w:i/>
          <w:iCs/>
          <w:sz w:val="22"/>
          <w:szCs w:val="22"/>
        </w:rPr>
      </w:pPr>
    </w:p>
    <w:p w:rsidRPr="00B72381" w:rsidR="00B72381" w:rsidP="00C43EC5" w:rsidRDefault="00A12E90" w14:paraId="06D511C6" w14:textId="47B95275">
      <w:pPr>
        <w:spacing w:after="0"/>
        <w:ind w:right="-142"/>
        <w:jc w:val="both"/>
        <w:rPr>
          <w:sz w:val="22"/>
          <w:szCs w:val="22"/>
        </w:rPr>
      </w:pPr>
      <w:r>
        <w:rPr>
          <w:i/>
          <w:iCs/>
          <w:sz w:val="22"/>
          <w:szCs w:val="22"/>
        </w:rPr>
        <w:t>Promoción de una cultura de</w:t>
      </w:r>
      <w:r w:rsidR="0078624D">
        <w:rPr>
          <w:i/>
          <w:iCs/>
          <w:sz w:val="22"/>
          <w:szCs w:val="22"/>
        </w:rPr>
        <w:t xml:space="preserve"> confiabilidad.</w:t>
      </w:r>
      <w:r w:rsidR="00B72381">
        <w:rPr>
          <w:i/>
          <w:iCs/>
          <w:sz w:val="22"/>
          <w:szCs w:val="22"/>
        </w:rPr>
        <w:t xml:space="preserve"> </w:t>
      </w:r>
      <w:r w:rsidRPr="00B72381" w:rsidR="00B72381">
        <w:rPr>
          <w:sz w:val="22"/>
          <w:szCs w:val="22"/>
        </w:rPr>
        <w:t>En las Organizaciones de Alta Confiabilidad (HRO), la gestión combina descentralización y centralización simultánea. Por un lado, el personal operativo está entrenado para reaccionar rápidamente ante crisis sin esperar órdenes (descentralización). Por otro, se mantienen cadenas de mando claras para conservar el control general (centralización).</w:t>
      </w:r>
      <w:r w:rsidR="00545431">
        <w:rPr>
          <w:sz w:val="22"/>
          <w:szCs w:val="22"/>
        </w:rPr>
        <w:t xml:space="preserve"> </w:t>
      </w:r>
      <w:r w:rsidRPr="00B72381" w:rsidR="00B72381">
        <w:rPr>
          <w:sz w:val="22"/>
          <w:szCs w:val="22"/>
        </w:rPr>
        <w:t xml:space="preserve">En contextos como los portaaviones, esta combinación funciona porque las decisiones urgentes </w:t>
      </w:r>
      <w:r w:rsidR="00545431">
        <w:rPr>
          <w:sz w:val="22"/>
          <w:szCs w:val="22"/>
        </w:rPr>
        <w:t>(</w:t>
      </w:r>
      <w:r w:rsidRPr="00B72381" w:rsidR="00B72381">
        <w:rPr>
          <w:sz w:val="22"/>
          <w:szCs w:val="22"/>
        </w:rPr>
        <w:t>como abortar un aterrizaje</w:t>
      </w:r>
      <w:r w:rsidR="00545431">
        <w:rPr>
          <w:sz w:val="22"/>
          <w:szCs w:val="22"/>
        </w:rPr>
        <w:t>)</w:t>
      </w:r>
      <w:r w:rsidRPr="00B72381" w:rsidR="00B72381">
        <w:rPr>
          <w:sz w:val="22"/>
          <w:szCs w:val="22"/>
        </w:rPr>
        <w:t xml:space="preserve"> son simples, bien definidas y ocurren en sistemas relativamente desacoplados. Sin embargo, cuando los sistemas son altamente complejos y estrechamente acoplados, la toma de decisiones local e independiente puede generar riesgos si no existe coordinación global. El accidente del ferry de </w:t>
      </w:r>
      <w:proofErr w:type="spellStart"/>
      <w:r w:rsidRPr="00B72381" w:rsidR="00B72381">
        <w:rPr>
          <w:sz w:val="22"/>
          <w:szCs w:val="22"/>
        </w:rPr>
        <w:t>Zeebrugge</w:t>
      </w:r>
      <w:proofErr w:type="spellEnd"/>
      <w:r w:rsidRPr="00B72381" w:rsidR="00B72381">
        <w:rPr>
          <w:sz w:val="22"/>
          <w:szCs w:val="22"/>
        </w:rPr>
        <w:t xml:space="preserve"> muestra cómo múltiples decisiones razonables, pero no coordinadas, pueden producir un resultado catastrófico.</w:t>
      </w:r>
    </w:p>
    <w:p w:rsidR="00077EA5" w:rsidP="00C43EC5" w:rsidRDefault="00077EA5" w14:paraId="0EC649A0" w14:textId="77777777">
      <w:pPr>
        <w:spacing w:after="0"/>
        <w:ind w:right="-142"/>
        <w:jc w:val="both"/>
        <w:rPr>
          <w:rFonts w:eastAsia="Arial" w:cs="Arial"/>
          <w:i/>
          <w:iCs/>
          <w:sz w:val="22"/>
          <w:szCs w:val="22"/>
        </w:rPr>
      </w:pPr>
    </w:p>
    <w:p w:rsidRPr="00F223BB" w:rsidR="002C2E98" w:rsidP="00C43EC5" w:rsidRDefault="002C2E98" w14:paraId="105F8F46" w14:textId="69F517F6">
      <w:pPr>
        <w:spacing w:after="0"/>
        <w:ind w:right="-142"/>
        <w:jc w:val="both"/>
        <w:rPr>
          <w:rFonts w:eastAsia="Arial" w:cs="Arial"/>
          <w:sz w:val="22"/>
          <w:szCs w:val="22"/>
        </w:rPr>
      </w:pPr>
      <w:r>
        <w:rPr>
          <w:rFonts w:eastAsia="Arial" w:cs="Arial"/>
          <w:i/>
          <w:iCs/>
          <w:sz w:val="22"/>
          <w:szCs w:val="22"/>
        </w:rPr>
        <w:t>Uso del aprendizaje organizacional.</w:t>
      </w:r>
      <w:r w:rsidR="00F223BB">
        <w:rPr>
          <w:rFonts w:eastAsia="Arial" w:cs="Arial"/>
          <w:i/>
          <w:iCs/>
          <w:sz w:val="22"/>
          <w:szCs w:val="22"/>
        </w:rPr>
        <w:t xml:space="preserve"> </w:t>
      </w:r>
      <w:r w:rsidRPr="00F223BB" w:rsidR="00F223BB">
        <w:rPr>
          <w:rFonts w:eastAsia="Arial" w:cs="Arial"/>
          <w:sz w:val="22"/>
          <w:szCs w:val="22"/>
        </w:rPr>
        <w:t>La teoría HRO sostiene que las organizaciones de alta confiabilidad desarrollan formas avanzadas de aprendizaje organizacional, utilizando</w:t>
      </w:r>
      <w:r w:rsidR="0026255A">
        <w:rPr>
          <w:rFonts w:eastAsia="Arial" w:cs="Arial"/>
          <w:sz w:val="22"/>
          <w:szCs w:val="22"/>
        </w:rPr>
        <w:t xml:space="preserve"> </w:t>
      </w:r>
      <w:r w:rsidRPr="00F223BB" w:rsidR="00F223BB">
        <w:rPr>
          <w:rFonts w:eastAsia="Arial" w:cs="Arial"/>
          <w:sz w:val="22"/>
          <w:szCs w:val="22"/>
        </w:rPr>
        <w:t>simulaciones, experiencias indirectas y análisis de incidentes para evitar depender únicamente del ensayo y error. También promueven aprender de accidentes y casi accidentes para mejorar la seguridad.</w:t>
      </w:r>
      <w:r w:rsidR="008B30F4">
        <w:rPr>
          <w:rFonts w:eastAsia="Arial" w:cs="Arial"/>
          <w:sz w:val="22"/>
          <w:szCs w:val="22"/>
        </w:rPr>
        <w:t xml:space="preserve"> </w:t>
      </w:r>
      <w:r w:rsidRPr="00F223BB" w:rsidR="00F223BB">
        <w:rPr>
          <w:rFonts w:eastAsia="Arial" w:cs="Arial"/>
          <w:sz w:val="22"/>
          <w:szCs w:val="22"/>
        </w:rPr>
        <w:t>Sin embargo, este enfoque tiene límites: implementar un aprendizaje organizacional efectivo es costoso y complejo, y en sistemas altamente tecnológicos y en constante cambio, la experiencia pasada puede no ser suficiente ni aplicable. En entornos como la NASA o la innovación digital, donde la tecnología evoluciona rápidamente y los riesgos son inéditos, aprender solo de errores anteriores resulta insuficiente.</w:t>
      </w:r>
      <w:r w:rsidR="00F223BB">
        <w:rPr>
          <w:rFonts w:eastAsia="Arial" w:cs="Arial"/>
          <w:sz w:val="22"/>
          <w:szCs w:val="22"/>
        </w:rPr>
        <w:t xml:space="preserve"> </w:t>
      </w:r>
      <w:r w:rsidRPr="00F223BB" w:rsidR="00F223BB">
        <w:rPr>
          <w:rFonts w:eastAsia="Arial" w:cs="Arial"/>
          <w:sz w:val="22"/>
          <w:szCs w:val="22"/>
        </w:rPr>
        <w:t>Además, el aumento en la complejidad, el costo y el impacto potencial de los sistemas modernos hace que el enfoque de “aprender después del accidente” sea demasiado riesgoso. Por ello, el aprendizaje debe complementarse con análisis preventivos de peligros, diseño seguro desde el inicio y técnicas de aseguramiento de la seguridad que integren factores técnicos, organizacionales y sociales.</w:t>
      </w:r>
    </w:p>
    <w:p w:rsidR="00077EA5" w:rsidP="00C43EC5" w:rsidRDefault="00077EA5" w14:paraId="1CC37B2F" w14:textId="77777777">
      <w:pPr>
        <w:spacing w:after="0"/>
        <w:ind w:right="-142"/>
        <w:jc w:val="both"/>
        <w:rPr>
          <w:rFonts w:eastAsia="Arial" w:cs="Arial"/>
          <w:i/>
          <w:iCs/>
          <w:sz w:val="22"/>
          <w:szCs w:val="22"/>
        </w:rPr>
      </w:pPr>
    </w:p>
    <w:p w:rsidR="002F0C3F" w:rsidP="00C43EC5" w:rsidRDefault="00077EA5" w14:paraId="50B874B8" w14:textId="1395FF64">
      <w:pPr>
        <w:spacing w:after="0"/>
        <w:ind w:right="-142"/>
        <w:jc w:val="both"/>
        <w:rPr>
          <w:rFonts w:eastAsia="Arial" w:cs="Arial"/>
          <w:sz w:val="22"/>
          <w:szCs w:val="22"/>
        </w:rPr>
      </w:pPr>
      <w:r>
        <w:rPr>
          <w:rFonts w:eastAsia="Arial" w:cs="Arial"/>
          <w:i/>
          <w:iCs/>
          <w:sz w:val="22"/>
          <w:szCs w:val="22"/>
        </w:rPr>
        <w:t>Uso extensivo de redundancia.</w:t>
      </w:r>
      <w:r w:rsidR="002F0C3F">
        <w:rPr>
          <w:rFonts w:eastAsia="Arial" w:cs="Arial"/>
          <w:i/>
          <w:iCs/>
          <w:sz w:val="22"/>
          <w:szCs w:val="22"/>
        </w:rPr>
        <w:t xml:space="preserve"> </w:t>
      </w:r>
      <w:r w:rsidRPr="002F0C3F" w:rsidR="002F0C3F">
        <w:rPr>
          <w:rFonts w:eastAsia="Arial" w:cs="Arial"/>
          <w:sz w:val="22"/>
          <w:szCs w:val="22"/>
        </w:rPr>
        <w:t xml:space="preserve">La teoría HRO destaca el uso extensivo de la redundancia </w:t>
      </w:r>
      <w:r w:rsidR="00477E3B">
        <w:rPr>
          <w:rFonts w:eastAsia="Arial" w:cs="Arial"/>
          <w:sz w:val="22"/>
          <w:szCs w:val="22"/>
        </w:rPr>
        <w:t>(</w:t>
      </w:r>
      <w:r w:rsidRPr="002F0C3F" w:rsidR="002F0C3F">
        <w:rPr>
          <w:rFonts w:eastAsia="Arial" w:cs="Arial"/>
          <w:sz w:val="22"/>
          <w:szCs w:val="22"/>
        </w:rPr>
        <w:t>tanto técnica como de personal</w:t>
      </w:r>
      <w:r w:rsidR="00477E3B">
        <w:rPr>
          <w:rFonts w:eastAsia="Arial" w:cs="Arial"/>
          <w:sz w:val="22"/>
          <w:szCs w:val="22"/>
        </w:rPr>
        <w:t xml:space="preserve">) </w:t>
      </w:r>
      <w:r w:rsidRPr="002F0C3F" w:rsidR="002F0C3F">
        <w:rPr>
          <w:rFonts w:eastAsia="Arial" w:cs="Arial"/>
          <w:sz w:val="22"/>
          <w:szCs w:val="22"/>
        </w:rPr>
        <w:t>como un mecanismo clave para garantizar la seguridad y el desempeño. En sistemas relativamente simples y desacoplados, duplicar componentes o funciones puede prevenir que una falla aislada se convierta en accidente.</w:t>
      </w:r>
      <w:r w:rsidR="002F0C3F">
        <w:rPr>
          <w:rFonts w:eastAsia="Arial" w:cs="Arial"/>
          <w:sz w:val="22"/>
          <w:szCs w:val="22"/>
        </w:rPr>
        <w:t xml:space="preserve"> </w:t>
      </w:r>
      <w:r w:rsidRPr="002F0C3F" w:rsidR="002F0C3F">
        <w:rPr>
          <w:rFonts w:eastAsia="Arial" w:cs="Arial"/>
          <w:sz w:val="22"/>
          <w:szCs w:val="22"/>
        </w:rPr>
        <w:t xml:space="preserve">Sin embargo, desde la perspectiva de la NAT, la efectividad de la redundancia es limitada en sistemas complejos, estrechamente </w:t>
      </w:r>
      <w:r w:rsidRPr="002F0C3F" w:rsidR="002F0C3F">
        <w:rPr>
          <w:rFonts w:eastAsia="Arial" w:cs="Arial"/>
          <w:sz w:val="22"/>
          <w:szCs w:val="22"/>
        </w:rPr>
        <w:lastRenderedPageBreak/>
        <w:t>acoplados y con alta incertidumbre. En estos entornos, los accidentes no siempre se originan en fallas aleatorias de componentes, sino en interacciones disfuncionales entre partes del sistema o en errores de diseño y decisión. Además, las fallas de modo común, la falsa confianza en sistemas redundantes y la complejidad del software pueden convertir la redundancia en un factor que aumente el riesgo en lugar de reducirlo.</w:t>
      </w:r>
      <w:r w:rsidR="002F0C3F">
        <w:rPr>
          <w:rFonts w:eastAsia="Arial" w:cs="Arial"/>
          <w:sz w:val="22"/>
          <w:szCs w:val="22"/>
        </w:rPr>
        <w:t xml:space="preserve"> </w:t>
      </w:r>
      <w:r w:rsidRPr="002F0C3F" w:rsidR="002F0C3F">
        <w:rPr>
          <w:rFonts w:eastAsia="Arial" w:cs="Arial"/>
          <w:sz w:val="22"/>
          <w:szCs w:val="22"/>
        </w:rPr>
        <w:t>En consecuencia, la redundancia puede mejorar la confiabilidad en ciertos casos, pero no garantiza seguridad en sistemas socio</w:t>
      </w:r>
      <w:r w:rsidR="002F0C3F">
        <w:rPr>
          <w:rFonts w:eastAsia="Arial" w:cs="Arial"/>
          <w:sz w:val="22"/>
          <w:szCs w:val="22"/>
        </w:rPr>
        <w:t xml:space="preserve"> </w:t>
      </w:r>
      <w:r w:rsidRPr="002F0C3F" w:rsidR="002F0C3F">
        <w:rPr>
          <w:rFonts w:eastAsia="Arial" w:cs="Arial"/>
          <w:sz w:val="22"/>
          <w:szCs w:val="22"/>
        </w:rPr>
        <w:t>técnicos complejos, donde se requieren enfoques más integrales y sofisticados.</w:t>
      </w:r>
    </w:p>
    <w:p w:rsidR="00944E51" w:rsidP="00C43EC5" w:rsidRDefault="00944E51" w14:paraId="4F40F024" w14:textId="77777777">
      <w:pPr>
        <w:spacing w:after="0"/>
        <w:ind w:right="-142"/>
        <w:jc w:val="both"/>
        <w:rPr>
          <w:rFonts w:eastAsia="Arial" w:cs="Arial"/>
          <w:sz w:val="22"/>
          <w:szCs w:val="22"/>
        </w:rPr>
      </w:pPr>
    </w:p>
    <w:p w:rsidR="00944E51" w:rsidP="00C43EC5" w:rsidRDefault="006B0CD6" w14:paraId="6147FE02" w14:textId="70CFA8D0">
      <w:pPr>
        <w:spacing w:after="0"/>
        <w:ind w:right="-142"/>
        <w:jc w:val="both"/>
        <w:rPr>
          <w:sz w:val="22"/>
          <w:szCs w:val="22"/>
        </w:rPr>
      </w:pPr>
      <w:r>
        <w:rPr>
          <w:rFonts w:eastAsia="Arial" w:cs="Arial"/>
          <w:sz w:val="22"/>
          <w:szCs w:val="22"/>
        </w:rPr>
        <w:t xml:space="preserve">Teniendo en cuenta la descripción anterior sobre las teorías de </w:t>
      </w:r>
      <w:r w:rsidR="00414B49">
        <w:rPr>
          <w:rFonts w:eastAsia="Arial" w:cs="Arial"/>
          <w:sz w:val="22"/>
          <w:szCs w:val="22"/>
        </w:rPr>
        <w:t xml:space="preserve">NAT y HRO, debe </w:t>
      </w:r>
      <w:r w:rsidR="00371E29">
        <w:rPr>
          <w:rFonts w:eastAsia="Arial" w:cs="Arial"/>
          <w:sz w:val="22"/>
          <w:szCs w:val="22"/>
        </w:rPr>
        <w:t>reconocerse que ambas</w:t>
      </w:r>
      <w:r w:rsidRPr="0045086E" w:rsidR="0045086E">
        <w:rPr>
          <w:rFonts w:eastAsia="Arial" w:cs="Arial"/>
          <w:sz w:val="22"/>
          <w:szCs w:val="22"/>
        </w:rPr>
        <w:t xml:space="preserve"> simplifican en exceso la causa de los accidentes. </w:t>
      </w:r>
      <w:r w:rsidR="00642BAE">
        <w:rPr>
          <w:rFonts w:eastAsia="Arial" w:cs="Arial"/>
          <w:sz w:val="22"/>
          <w:szCs w:val="22"/>
        </w:rPr>
        <w:t>Por un lado, l</w:t>
      </w:r>
      <w:r w:rsidRPr="0045086E" w:rsidR="0045086E">
        <w:rPr>
          <w:rFonts w:eastAsia="Arial" w:cs="Arial"/>
          <w:sz w:val="22"/>
          <w:szCs w:val="22"/>
        </w:rPr>
        <w:t>a HRO subestima los problemas de la incertidumbre</w:t>
      </w:r>
      <w:r w:rsidR="00642BAE">
        <w:rPr>
          <w:rFonts w:eastAsia="Arial" w:cs="Arial"/>
          <w:sz w:val="22"/>
          <w:szCs w:val="22"/>
        </w:rPr>
        <w:t xml:space="preserve"> y por el otro, la</w:t>
      </w:r>
      <w:r w:rsidRPr="0045086E" w:rsidR="0045086E">
        <w:rPr>
          <w:rFonts w:eastAsia="Arial" w:cs="Arial"/>
          <w:sz w:val="22"/>
          <w:szCs w:val="22"/>
        </w:rPr>
        <w:t xml:space="preserve"> NAT reconoce la dificultad de tratar con la incertidumbre, pero subestima y simplifica en exceso las posibles maneras de enfrentarla. Ambas parecen creer que la redundancia es la única manera de manejar el riesgo</w:t>
      </w:r>
      <w:r w:rsidR="00246F54">
        <w:rPr>
          <w:rFonts w:eastAsia="Arial" w:cs="Arial"/>
          <w:sz w:val="22"/>
          <w:szCs w:val="22"/>
        </w:rPr>
        <w:t xml:space="preserve"> (</w:t>
      </w:r>
      <w:r w:rsidRPr="00D86BA2" w:rsidR="00013AD0">
        <w:rPr>
          <w:sz w:val="22"/>
          <w:szCs w:val="22"/>
        </w:rPr>
        <w:t>Marais, Dulac</w:t>
      </w:r>
      <w:r w:rsidRPr="006D011E" w:rsidR="00013AD0">
        <w:rPr>
          <w:sz w:val="22"/>
          <w:szCs w:val="22"/>
        </w:rPr>
        <w:t xml:space="preserve"> y </w:t>
      </w:r>
      <w:proofErr w:type="spellStart"/>
      <w:r w:rsidRPr="00D86BA2" w:rsidR="00013AD0">
        <w:rPr>
          <w:sz w:val="22"/>
          <w:szCs w:val="22"/>
        </w:rPr>
        <w:t>Leveson</w:t>
      </w:r>
      <w:proofErr w:type="spellEnd"/>
      <w:r w:rsidRPr="006D011E" w:rsidR="00013AD0">
        <w:rPr>
          <w:sz w:val="22"/>
          <w:szCs w:val="22"/>
        </w:rPr>
        <w:t xml:space="preserve"> 2004</w:t>
      </w:r>
      <w:r w:rsidR="00013AD0">
        <w:rPr>
          <w:sz w:val="22"/>
          <w:szCs w:val="22"/>
        </w:rPr>
        <w:t>).</w:t>
      </w:r>
    </w:p>
    <w:p w:rsidR="006E525A" w:rsidP="00C43EC5" w:rsidRDefault="006E525A" w14:paraId="58D9153D" w14:textId="77777777">
      <w:pPr>
        <w:spacing w:after="0"/>
        <w:ind w:right="-142"/>
        <w:jc w:val="both"/>
        <w:rPr>
          <w:sz w:val="22"/>
          <w:szCs w:val="22"/>
        </w:rPr>
      </w:pPr>
    </w:p>
    <w:p w:rsidR="00543A22" w:rsidP="111FA213" w:rsidRDefault="0025028D" w14:paraId="5F5FFBFA" w14:textId="314CADF3">
      <w:pPr>
        <w:pStyle w:val="Ttulo2"/>
        <w:numPr>
          <w:ilvl w:val="1"/>
          <w:numId w:val="6"/>
        </w:numPr>
        <w:ind w:left="567" w:firstLine="0"/>
        <w:rPr>
          <w:rFonts w:eastAsia="Times New Roman"/>
          <w:b/>
          <w:color w:val="auto"/>
          <w:sz w:val="24"/>
          <w:szCs w:val="24"/>
        </w:rPr>
      </w:pPr>
      <w:bookmarkStart w:name="_Toc225160598" w:id="5"/>
      <w:r w:rsidRPr="441FF451">
        <w:rPr>
          <w:rFonts w:eastAsia="Times New Roman"/>
          <w:b/>
          <w:color w:val="auto"/>
          <w:sz w:val="24"/>
          <w:szCs w:val="24"/>
        </w:rPr>
        <w:t xml:space="preserve">Teoría de la Desviación de Diane </w:t>
      </w:r>
      <w:r w:rsidRPr="441FF451" w:rsidR="008C0C32">
        <w:rPr>
          <w:rFonts w:eastAsia="Times New Roman"/>
          <w:b/>
          <w:color w:val="auto"/>
          <w:sz w:val="24"/>
          <w:szCs w:val="24"/>
        </w:rPr>
        <w:t>Vaughan.</w:t>
      </w:r>
      <w:bookmarkEnd w:id="5"/>
      <w:r w:rsidRPr="441FF451" w:rsidR="008151F5">
        <w:rPr>
          <w:rFonts w:eastAsia="Times New Roman"/>
          <w:b/>
          <w:color w:val="auto"/>
          <w:sz w:val="24"/>
          <w:szCs w:val="24"/>
        </w:rPr>
        <w:t xml:space="preserve"> </w:t>
      </w:r>
      <w:r w:rsidRPr="441FF451" w:rsidR="4686CFFB">
        <w:rPr>
          <w:rFonts w:eastAsia="Times New Roman"/>
          <w:b/>
          <w:color w:val="auto"/>
          <w:sz w:val="24"/>
          <w:szCs w:val="24"/>
        </w:rPr>
        <w:t xml:space="preserve"> </w:t>
      </w:r>
    </w:p>
    <w:p w:rsidR="111FA213" w:rsidP="111FA213" w:rsidRDefault="111FA213" w14:paraId="1426BE52" w14:textId="175E26E8"/>
    <w:p w:rsidR="00FF3CDF" w:rsidP="00C43EC5" w:rsidRDefault="0004767F" w14:paraId="2A948535" w14:textId="15B7A5E5">
      <w:pPr>
        <w:jc w:val="both"/>
        <w:rPr>
          <w:sz w:val="22"/>
          <w:szCs w:val="22"/>
        </w:rPr>
      </w:pPr>
      <w:r w:rsidRPr="0004767F">
        <w:rPr>
          <w:sz w:val="22"/>
          <w:szCs w:val="22"/>
        </w:rPr>
        <w:t xml:space="preserve">Desde la perspectiva desarrollada por Diane Vaughan, la normalización de la desviación surge como un concepto explicativo a partir de su análisis sociológico del desastre del transbordador espacial </w:t>
      </w:r>
      <w:r w:rsidRPr="0004767F">
        <w:rPr>
          <w:i/>
          <w:iCs/>
          <w:sz w:val="22"/>
          <w:szCs w:val="22"/>
        </w:rPr>
        <w:t>Challenger</w:t>
      </w:r>
      <w:r w:rsidRPr="0004767F">
        <w:rPr>
          <w:sz w:val="22"/>
          <w:szCs w:val="22"/>
        </w:rPr>
        <w:t>. Vaughan identificó que la tragedia no fue producto de un error aislado, sino del proceso progresivo mediante el cual</w:t>
      </w:r>
      <w:r w:rsidR="0048172B">
        <w:rPr>
          <w:sz w:val="22"/>
          <w:szCs w:val="22"/>
        </w:rPr>
        <w:t>,</w:t>
      </w:r>
      <w:r w:rsidRPr="0004767F">
        <w:rPr>
          <w:sz w:val="22"/>
          <w:szCs w:val="22"/>
        </w:rPr>
        <w:t xml:space="preserve"> decisiones organizacionales reiteradas redefinieron como “aceptable” una condición técnica que originalmente representaba una anomalía crítica</w:t>
      </w:r>
      <w:r w:rsidR="00FF3CDF">
        <w:rPr>
          <w:sz w:val="22"/>
          <w:szCs w:val="22"/>
        </w:rPr>
        <w:t>.</w:t>
      </w:r>
      <w:r w:rsidRPr="00FF3CDF" w:rsidR="00FF3CDF">
        <w:rPr>
          <w:rFonts w:ascii="Helvetica" w:hAnsi="Helvetica"/>
          <w:color w:val="222222"/>
          <w:sz w:val="23"/>
          <w:szCs w:val="23"/>
          <w:shd w:val="clear" w:color="auto" w:fill="FFFFFF"/>
        </w:rPr>
        <w:t xml:space="preserve"> </w:t>
      </w:r>
      <w:r w:rsidRPr="00FF3CDF" w:rsidR="00FF3CDF">
        <w:rPr>
          <w:sz w:val="22"/>
          <w:szCs w:val="22"/>
        </w:rPr>
        <w:t>Observó que la causa del desastre estaba relacionada con la reiterada evidencia de que los funcionarios de la NASA seguían permitiendo misiones del transbordador espacial a pesar de un fallo de diseño conocido en las juntas tóricas de los cohetes propulsores sólidos (SRB). </w:t>
      </w:r>
      <w:r w:rsidRPr="00ED6DE6" w:rsidR="00ED6DE6">
        <w:rPr>
          <w:sz w:val="22"/>
          <w:szCs w:val="22"/>
        </w:rPr>
        <w:t xml:space="preserve">Civil </w:t>
      </w:r>
      <w:proofErr w:type="spellStart"/>
      <w:r w:rsidRPr="00ED6DE6" w:rsidR="00ED6DE6">
        <w:rPr>
          <w:sz w:val="22"/>
          <w:szCs w:val="22"/>
        </w:rPr>
        <w:t>Aviation</w:t>
      </w:r>
      <w:proofErr w:type="spellEnd"/>
      <w:r w:rsidRPr="00ED6DE6" w:rsidR="00ED6DE6">
        <w:rPr>
          <w:sz w:val="22"/>
          <w:szCs w:val="22"/>
        </w:rPr>
        <w:t xml:space="preserve"> Safety </w:t>
      </w:r>
      <w:proofErr w:type="spellStart"/>
      <w:r w:rsidRPr="00ED6DE6" w:rsidR="00ED6DE6">
        <w:rPr>
          <w:sz w:val="22"/>
          <w:szCs w:val="22"/>
        </w:rPr>
        <w:t>Authority</w:t>
      </w:r>
      <w:proofErr w:type="spellEnd"/>
      <w:r w:rsidRPr="00ED6DE6" w:rsidR="00ED6DE6">
        <w:rPr>
          <w:sz w:val="22"/>
          <w:szCs w:val="22"/>
        </w:rPr>
        <w:t xml:space="preserve"> (2017)</w:t>
      </w:r>
      <w:r w:rsidR="005D399B">
        <w:rPr>
          <w:sz w:val="22"/>
          <w:szCs w:val="22"/>
        </w:rPr>
        <w:t>.</w:t>
      </w:r>
    </w:p>
    <w:p w:rsidR="005D399B" w:rsidP="00C43EC5" w:rsidRDefault="00FF01F7" w14:paraId="3438E2C2" w14:textId="299C5D5E">
      <w:pPr>
        <w:jc w:val="both"/>
        <w:rPr>
          <w:sz w:val="22"/>
          <w:szCs w:val="22"/>
        </w:rPr>
      </w:pPr>
      <w:r w:rsidRPr="00FF01F7">
        <w:rPr>
          <w:sz w:val="22"/>
          <w:szCs w:val="22"/>
        </w:rPr>
        <w:t xml:space="preserve">La falla asociada a las juntas tóricas de los propulsores sólidos del transbordador se relacionaba con la masilla sellante empleada en el sistema: en ella se generaban cavidades que, durante el lanzamiento, permitían el paso de gases calientes que erosionaban y dañaban la junta. Cuando, tras la segunda misión, se detectó por primera vez una junta deteriorada, los directivos de la NASA </w:t>
      </w:r>
      <w:r w:rsidR="00532D5C">
        <w:rPr>
          <w:sz w:val="22"/>
          <w:szCs w:val="22"/>
        </w:rPr>
        <w:t xml:space="preserve">que estaban </w:t>
      </w:r>
      <w:r w:rsidRPr="00FF01F7">
        <w:rPr>
          <w:sz w:val="22"/>
          <w:szCs w:val="22"/>
        </w:rPr>
        <w:t>presionados por fuertes limitaciones presupuestales y cronogramas</w:t>
      </w:r>
      <w:r w:rsidR="00532D5C">
        <w:rPr>
          <w:sz w:val="22"/>
          <w:szCs w:val="22"/>
        </w:rPr>
        <w:t xml:space="preserve"> rigurosos </w:t>
      </w:r>
      <w:r w:rsidRPr="00FF01F7">
        <w:rPr>
          <w:sz w:val="22"/>
          <w:szCs w:val="22"/>
        </w:rPr>
        <w:t>concluyeron que el inconveniente podía manejarse sin suspender los vuelos. Varias misiones posteriores se realizaron sin incidentes visibles, lo que fortaleció la percepción de que la decisión de continuar operando era adecuada. Con el tiempo, aparecieron nuevos indicios de fallas de sellado en los propulsores recuperados; sin embargo, cada lanzamiento exitoso, al no producir consecuencias inmediatas, consolidó la creencia de que era aceptable mantener las operaciones sin corregir de fondo el problema técnico</w:t>
      </w:r>
      <w:r>
        <w:rPr>
          <w:sz w:val="22"/>
          <w:szCs w:val="22"/>
        </w:rPr>
        <w:t xml:space="preserve">. </w:t>
      </w:r>
      <w:r w:rsidRPr="00790C7D" w:rsidR="00790C7D">
        <w:rPr>
          <w:sz w:val="22"/>
          <w:szCs w:val="22"/>
        </w:rPr>
        <w:t xml:space="preserve">Como observó Vaughan, el hecho de que la inacción no tuviera consecuencias negativas hizo que la desviación se normalizara dentro de la cultura de la NASA. </w:t>
      </w:r>
      <w:r w:rsidRPr="00790C7D">
        <w:rPr>
          <w:sz w:val="22"/>
          <w:szCs w:val="22"/>
        </w:rPr>
        <w:t>(</w:t>
      </w:r>
      <w:r>
        <w:rPr>
          <w:sz w:val="22"/>
          <w:szCs w:val="22"/>
        </w:rPr>
        <w:t xml:space="preserve">CASA, </w:t>
      </w:r>
      <w:r w:rsidRPr="00ED6DE6">
        <w:rPr>
          <w:sz w:val="22"/>
          <w:szCs w:val="22"/>
        </w:rPr>
        <w:t>2017)</w:t>
      </w:r>
      <w:r>
        <w:rPr>
          <w:sz w:val="22"/>
          <w:szCs w:val="22"/>
        </w:rPr>
        <w:t>.</w:t>
      </w:r>
    </w:p>
    <w:p w:rsidRPr="0004767F" w:rsidR="0004767F" w:rsidP="00C43EC5" w:rsidRDefault="0004767F" w14:paraId="591112A9" w14:textId="3270135F">
      <w:pPr>
        <w:jc w:val="both"/>
        <w:rPr>
          <w:sz w:val="22"/>
          <w:szCs w:val="22"/>
        </w:rPr>
      </w:pPr>
      <w:r w:rsidRPr="0004767F">
        <w:rPr>
          <w:sz w:val="22"/>
          <w:szCs w:val="22"/>
        </w:rPr>
        <w:lastRenderedPageBreak/>
        <w:t xml:space="preserve">En el caso del </w:t>
      </w:r>
      <w:r w:rsidRPr="0004767F">
        <w:rPr>
          <w:i/>
          <w:iCs/>
          <w:sz w:val="22"/>
          <w:szCs w:val="22"/>
        </w:rPr>
        <w:t>Challenger</w:t>
      </w:r>
      <w:r w:rsidRPr="0004767F">
        <w:rPr>
          <w:sz w:val="22"/>
          <w:szCs w:val="22"/>
        </w:rPr>
        <w:t xml:space="preserve">, la persistencia en lanzar el transbordador pese a </w:t>
      </w:r>
      <w:r w:rsidR="00E57DFE">
        <w:rPr>
          <w:sz w:val="22"/>
          <w:szCs w:val="22"/>
        </w:rPr>
        <w:t xml:space="preserve">la </w:t>
      </w:r>
      <w:r w:rsidRPr="0004767F">
        <w:rPr>
          <w:sz w:val="22"/>
          <w:szCs w:val="22"/>
        </w:rPr>
        <w:t xml:space="preserve">evidencia previa de erosión en </w:t>
      </w:r>
      <w:r>
        <w:rPr>
          <w:sz w:val="22"/>
          <w:szCs w:val="22"/>
        </w:rPr>
        <w:t>las juntas tóricas</w:t>
      </w:r>
      <w:r w:rsidRPr="0004767F">
        <w:rPr>
          <w:sz w:val="22"/>
          <w:szCs w:val="22"/>
        </w:rPr>
        <w:t xml:space="preserve"> transformó gradualmente una desviación respecto del estándar de seguridad en un riesgo considerado tolerable. Esa reinterpretación cultural del riesgo permitió continuar operaciones hasta que, en condiciones de bajas temperaturas, los sellos endurecidos facilitaron la fuga e ignición de gases propelentes, ocasionando la explosión y la muerte de siete astronautas. Posteriormente, este patrón ha sido identificado como factor contribuyente en otros eventos de alto impacto, como el desastre del </w:t>
      </w:r>
      <w:r w:rsidRPr="0004767F">
        <w:rPr>
          <w:i/>
          <w:iCs/>
          <w:sz w:val="22"/>
          <w:szCs w:val="22"/>
        </w:rPr>
        <w:t>Columbia</w:t>
      </w:r>
      <w:r w:rsidRPr="0004767F">
        <w:rPr>
          <w:sz w:val="22"/>
          <w:szCs w:val="22"/>
        </w:rPr>
        <w:t xml:space="preserve">, el accidente químico de Bhopal y los siniestros nucleares de Chernóbil y </w:t>
      </w:r>
      <w:proofErr w:type="spellStart"/>
      <w:r w:rsidRPr="0004767F">
        <w:rPr>
          <w:sz w:val="22"/>
          <w:szCs w:val="22"/>
        </w:rPr>
        <w:t>Three</w:t>
      </w:r>
      <w:proofErr w:type="spellEnd"/>
      <w:r w:rsidRPr="0004767F">
        <w:rPr>
          <w:sz w:val="22"/>
          <w:szCs w:val="22"/>
        </w:rPr>
        <w:t xml:space="preserve"> Mile Island</w:t>
      </w:r>
      <w:r w:rsidR="005F533B">
        <w:rPr>
          <w:sz w:val="22"/>
          <w:szCs w:val="22"/>
        </w:rPr>
        <w:t xml:space="preserve"> (</w:t>
      </w:r>
      <w:r w:rsidR="00323378">
        <w:rPr>
          <w:sz w:val="22"/>
          <w:szCs w:val="22"/>
        </w:rPr>
        <w:t>Price y Williams, 2018)</w:t>
      </w:r>
      <w:r w:rsidRPr="0004767F">
        <w:rPr>
          <w:sz w:val="22"/>
          <w:szCs w:val="22"/>
        </w:rPr>
        <w:t>.</w:t>
      </w:r>
    </w:p>
    <w:p w:rsidR="0004767F" w:rsidP="00C43EC5" w:rsidRDefault="00901E85" w14:paraId="7F05BA87" w14:textId="3DF1F6C3">
      <w:pPr>
        <w:jc w:val="both"/>
        <w:rPr>
          <w:sz w:val="22"/>
          <w:szCs w:val="22"/>
        </w:rPr>
      </w:pPr>
      <w:r>
        <w:rPr>
          <w:sz w:val="22"/>
          <w:szCs w:val="22"/>
        </w:rPr>
        <w:t xml:space="preserve">Los autores mencionan </w:t>
      </w:r>
      <w:r w:rsidR="00D97946">
        <w:rPr>
          <w:sz w:val="22"/>
          <w:szCs w:val="22"/>
        </w:rPr>
        <w:t>que,</w:t>
      </w:r>
      <w:r w:rsidR="004B5120">
        <w:rPr>
          <w:sz w:val="22"/>
          <w:szCs w:val="22"/>
        </w:rPr>
        <w:t xml:space="preserve"> p</w:t>
      </w:r>
      <w:r w:rsidRPr="0004767F" w:rsidR="0004767F">
        <w:rPr>
          <w:sz w:val="22"/>
          <w:szCs w:val="22"/>
        </w:rPr>
        <w:t>ara Vaughan, la normalización de la desviación no es un acto deliberado de negligencia, sino un proceso social y organizacional mediante el cual los miembros de una institución se habitúan progresivamente a prácticas que se apartan del estándar. Con el tiempo, la repetición sin consecuencias inmediatas reduce la percepción de riesgo, hasta que la desviación deja de percibirse como problemática. Esta insensibilización puede consolidarse durante años, ya que el evento catastrófico solo se materializa cuando múltiples factores críticos convergen simultáneamente.</w:t>
      </w:r>
    </w:p>
    <w:p w:rsidRPr="0035272E" w:rsidR="0035272E" w:rsidP="00C43EC5" w:rsidRDefault="0035272E" w14:paraId="18E6D670" w14:textId="066BADA8">
      <w:pPr>
        <w:jc w:val="both"/>
        <w:rPr>
          <w:sz w:val="22"/>
          <w:szCs w:val="22"/>
        </w:rPr>
      </w:pPr>
      <w:r w:rsidRPr="0035272E">
        <w:rPr>
          <w:sz w:val="22"/>
          <w:szCs w:val="22"/>
        </w:rPr>
        <w:t>El fenómeno de la normalización de la desviación se configura cuando, de manera reiterada, las organizaciones adoptan prácticas o toman decisiones que, aunque implican riesgos significativos, terminan siendo aceptadas dentro de su funcionamiento cotidiano. Estas conductas se consideran desviaciones normalizadas porque transgreden de forma continua estándares, reglas y normas previamente establecidos, sin que tales infracciones generen cuestionamientos o sanciones. Con el tiempo, esta tolerancia institucional hace que dichas prácticas se integren al quehacer habitual de la organización</w:t>
      </w:r>
      <w:r w:rsidR="00DF46E9">
        <w:rPr>
          <w:sz w:val="22"/>
          <w:szCs w:val="22"/>
        </w:rPr>
        <w:t xml:space="preserve"> (</w:t>
      </w:r>
      <w:r w:rsidR="00D734C8">
        <w:rPr>
          <w:sz w:val="22"/>
          <w:szCs w:val="22"/>
        </w:rPr>
        <w:t>Pinto et.al.2020)</w:t>
      </w:r>
      <w:r w:rsidRPr="0035272E">
        <w:rPr>
          <w:sz w:val="22"/>
          <w:szCs w:val="22"/>
        </w:rPr>
        <w:t>.</w:t>
      </w:r>
    </w:p>
    <w:p w:rsidRPr="0035272E" w:rsidR="0035272E" w:rsidP="00C43EC5" w:rsidRDefault="0035272E" w14:paraId="6ABD5775" w14:textId="77777777">
      <w:pPr>
        <w:jc w:val="both"/>
        <w:rPr>
          <w:sz w:val="22"/>
          <w:szCs w:val="22"/>
        </w:rPr>
      </w:pPr>
      <w:r w:rsidRPr="0035272E">
        <w:rPr>
          <w:sz w:val="22"/>
          <w:szCs w:val="22"/>
        </w:rPr>
        <w:t>En este estudio se adopta la definición propuesta por Pinto, quien describe este fenómeno como “una actitud cultural que crea deliberadamente condiciones en las que se cometen errores; en efecto, proporciona un entorno perfecto para la mala conducta corporativa” (Pinto, 2014).</w:t>
      </w:r>
    </w:p>
    <w:p w:rsidRPr="000F779F" w:rsidR="000F779F" w:rsidP="00C43EC5" w:rsidRDefault="000F779F" w14:paraId="4AB02E17" w14:textId="6850BCF0">
      <w:pPr>
        <w:jc w:val="both"/>
        <w:rPr>
          <w:sz w:val="22"/>
          <w:szCs w:val="22"/>
        </w:rPr>
      </w:pPr>
    </w:p>
    <w:p w:rsidRPr="001A0FD5" w:rsidR="008C0C32" w:rsidP="0026255A" w:rsidRDefault="008C0C32" w14:paraId="3EC86A31" w14:textId="53E2EFC9">
      <w:pPr>
        <w:pStyle w:val="Ttulo2"/>
        <w:numPr>
          <w:ilvl w:val="1"/>
          <w:numId w:val="6"/>
        </w:numPr>
        <w:ind w:left="567" w:firstLine="0"/>
        <w:rPr>
          <w:rFonts w:eastAsia="Times New Roman"/>
          <w:b/>
          <w:bCs/>
          <w:color w:val="auto"/>
          <w:sz w:val="24"/>
          <w:szCs w:val="24"/>
        </w:rPr>
      </w:pPr>
      <w:bookmarkStart w:name="_Toc225160599" w:id="6"/>
      <w:r w:rsidRPr="001A0FD5">
        <w:rPr>
          <w:rFonts w:eastAsia="Times New Roman"/>
          <w:b/>
          <w:bCs/>
          <w:color w:val="auto"/>
          <w:sz w:val="24"/>
          <w:szCs w:val="24"/>
        </w:rPr>
        <w:t>Modelo</w:t>
      </w:r>
      <w:r w:rsidRPr="001A0FD5" w:rsidR="00742BD1">
        <w:rPr>
          <w:rFonts w:eastAsia="Times New Roman"/>
          <w:b/>
          <w:bCs/>
          <w:color w:val="auto"/>
          <w:sz w:val="24"/>
          <w:szCs w:val="24"/>
        </w:rPr>
        <w:t xml:space="preserve"> </w:t>
      </w:r>
      <w:r w:rsidRPr="001A0FD5">
        <w:rPr>
          <w:rFonts w:eastAsia="Times New Roman"/>
          <w:b/>
          <w:bCs/>
          <w:color w:val="auto"/>
          <w:sz w:val="24"/>
          <w:szCs w:val="24"/>
        </w:rPr>
        <w:t>del</w:t>
      </w:r>
      <w:r w:rsidRPr="001A0FD5" w:rsidR="00742BD1">
        <w:rPr>
          <w:rFonts w:eastAsia="Times New Roman"/>
          <w:b/>
          <w:bCs/>
          <w:color w:val="auto"/>
          <w:sz w:val="24"/>
          <w:szCs w:val="24"/>
        </w:rPr>
        <w:t xml:space="preserve"> </w:t>
      </w:r>
      <w:r w:rsidRPr="001A0FD5">
        <w:rPr>
          <w:rFonts w:eastAsia="Times New Roman"/>
          <w:b/>
          <w:bCs/>
          <w:color w:val="auto"/>
          <w:sz w:val="24"/>
          <w:szCs w:val="24"/>
        </w:rPr>
        <w:t>“queso</w:t>
      </w:r>
      <w:r w:rsidRPr="001A0FD5" w:rsidR="00742BD1">
        <w:rPr>
          <w:rFonts w:eastAsia="Times New Roman"/>
          <w:b/>
          <w:bCs/>
          <w:color w:val="auto"/>
          <w:sz w:val="24"/>
          <w:szCs w:val="24"/>
        </w:rPr>
        <w:t xml:space="preserve"> </w:t>
      </w:r>
      <w:r w:rsidRPr="001A0FD5">
        <w:rPr>
          <w:rFonts w:eastAsia="Times New Roman"/>
          <w:b/>
          <w:bCs/>
          <w:color w:val="auto"/>
          <w:sz w:val="24"/>
          <w:szCs w:val="24"/>
        </w:rPr>
        <w:t>suizo”</w:t>
      </w:r>
      <w:r w:rsidRPr="001A0FD5" w:rsidR="00742BD1">
        <w:rPr>
          <w:rFonts w:eastAsia="Times New Roman"/>
          <w:b/>
          <w:bCs/>
          <w:color w:val="auto"/>
          <w:sz w:val="24"/>
          <w:szCs w:val="24"/>
        </w:rPr>
        <w:t xml:space="preserve"> </w:t>
      </w:r>
      <w:r w:rsidRPr="001A0FD5">
        <w:rPr>
          <w:rFonts w:eastAsia="Times New Roman"/>
          <w:b/>
          <w:bCs/>
          <w:color w:val="auto"/>
          <w:sz w:val="24"/>
          <w:szCs w:val="24"/>
        </w:rPr>
        <w:t>(Reason)</w:t>
      </w:r>
      <w:bookmarkEnd w:id="6"/>
    </w:p>
    <w:p w:rsidR="000F779F" w:rsidP="00C43EC5" w:rsidRDefault="000F779F" w14:paraId="2A5AFA03" w14:textId="6F0309B3"/>
    <w:p w:rsidRPr="00C15477" w:rsidR="00C15477" w:rsidP="00C43EC5" w:rsidRDefault="00C15477" w14:paraId="6EA06F96" w14:textId="77777777">
      <w:pPr>
        <w:jc w:val="both"/>
        <w:rPr>
          <w:sz w:val="22"/>
          <w:szCs w:val="22"/>
        </w:rPr>
      </w:pPr>
      <w:r w:rsidRPr="00C15477">
        <w:rPr>
          <w:sz w:val="22"/>
          <w:szCs w:val="22"/>
        </w:rPr>
        <w:t>El desarrollo del Modelo del queso suizo se relaciona con un conjunto de debates teóricos relevantes que tuvieron lugar durante la década de 1980, impulsados por diversas investigaciones científicas y proyectos industriales desarrollados principalmente en el sector nuclear (</w:t>
      </w:r>
      <w:proofErr w:type="spellStart"/>
      <w:r w:rsidRPr="00C15477">
        <w:rPr>
          <w:sz w:val="22"/>
          <w:szCs w:val="22"/>
        </w:rPr>
        <w:t>Larouzee</w:t>
      </w:r>
      <w:proofErr w:type="spellEnd"/>
      <w:r w:rsidRPr="00C15477">
        <w:rPr>
          <w:sz w:val="22"/>
          <w:szCs w:val="22"/>
        </w:rPr>
        <w:t xml:space="preserve"> &amp; Le </w:t>
      </w:r>
      <w:proofErr w:type="spellStart"/>
      <w:r w:rsidRPr="00C15477">
        <w:rPr>
          <w:sz w:val="22"/>
          <w:szCs w:val="22"/>
        </w:rPr>
        <w:t>Coze</w:t>
      </w:r>
      <w:proofErr w:type="spellEnd"/>
      <w:r w:rsidRPr="00C15477">
        <w:rPr>
          <w:sz w:val="22"/>
          <w:szCs w:val="22"/>
        </w:rPr>
        <w:t>, 2020). La premisa central del modelo sostiene que los accidentes en sistemas complejos no obedecen a una causa única, sino al encadenamiento de múltiples factores causales que interactúan entre sí. Cada uno de estos factores puede constituir una condición necesaria para que ocurra el evento adverso; sin embargo, de manera aislada ninguno resulta suficiente para generar el accidente.</w:t>
      </w:r>
    </w:p>
    <w:p w:rsidR="009A0C4B" w:rsidP="00C43EC5" w:rsidRDefault="00C15477" w14:paraId="4F50E265" w14:textId="7060175A">
      <w:pPr>
        <w:jc w:val="both"/>
        <w:rPr>
          <w:sz w:val="22"/>
          <w:szCs w:val="22"/>
          <w:lang w:val="es"/>
        </w:rPr>
      </w:pPr>
      <w:r w:rsidRPr="00C15477">
        <w:rPr>
          <w:sz w:val="22"/>
          <w:szCs w:val="22"/>
        </w:rPr>
        <w:lastRenderedPageBreak/>
        <w:t>El Modelo del queso suizo se fundamenta en un enfoque sistémico, según el cual los actos inseguros ejecutados por los trabajadores no deben interpretarse como la causa originaria del accidente, sino como manifestaciones finales de fallas latentes y condiciones contribuyentes presentes en el sistema de trabajo (Reason et al., 2006). En esta perspectiva, los incidentes se comprenden como el resultado de la alineación de debilidades o brechas existentes en las distintas capas de defensa del sistema</w:t>
      </w:r>
      <w:r w:rsidR="004D7A03">
        <w:rPr>
          <w:sz w:val="22"/>
          <w:szCs w:val="22"/>
        </w:rPr>
        <w:t xml:space="preserve"> y se c</w:t>
      </w:r>
      <w:r w:rsidRPr="73282652" w:rsidR="00A62B11">
        <w:rPr>
          <w:sz w:val="22"/>
          <w:szCs w:val="22"/>
          <w:lang w:val="es"/>
        </w:rPr>
        <w:t>co</w:t>
      </w:r>
      <w:r w:rsidR="00A62B11">
        <w:rPr>
          <w:sz w:val="22"/>
          <w:szCs w:val="22"/>
          <w:lang w:val="es"/>
        </w:rPr>
        <w:t>noce</w:t>
      </w:r>
      <w:r w:rsidR="004D7A03">
        <w:rPr>
          <w:sz w:val="22"/>
          <w:szCs w:val="22"/>
          <w:lang w:val="es"/>
        </w:rPr>
        <w:t xml:space="preserve"> como</w:t>
      </w:r>
      <w:r w:rsidR="00E57DFE">
        <w:rPr>
          <w:sz w:val="22"/>
          <w:szCs w:val="22"/>
          <w:lang w:val="es"/>
        </w:rPr>
        <w:t xml:space="preserve"> </w:t>
      </w:r>
      <w:r w:rsidRPr="73282652" w:rsidR="334E4D01">
        <w:rPr>
          <w:sz w:val="22"/>
          <w:szCs w:val="22"/>
          <w:lang w:val="es"/>
        </w:rPr>
        <w:t>uno</w:t>
      </w:r>
      <w:r w:rsidR="00E57DFE">
        <w:rPr>
          <w:sz w:val="22"/>
          <w:szCs w:val="22"/>
          <w:lang w:val="es"/>
        </w:rPr>
        <w:t xml:space="preserve"> </w:t>
      </w:r>
      <w:r w:rsidRPr="73282652" w:rsidR="334E4D01">
        <w:rPr>
          <w:sz w:val="22"/>
          <w:szCs w:val="22"/>
          <w:lang w:val="es"/>
        </w:rPr>
        <w:t>de</w:t>
      </w:r>
      <w:r w:rsidR="00E57DFE">
        <w:rPr>
          <w:sz w:val="22"/>
          <w:szCs w:val="22"/>
          <w:lang w:val="es"/>
        </w:rPr>
        <w:t xml:space="preserve"> </w:t>
      </w:r>
      <w:r w:rsidRPr="73282652" w:rsidR="334E4D01">
        <w:rPr>
          <w:sz w:val="22"/>
          <w:szCs w:val="22"/>
          <w:lang w:val="es"/>
        </w:rPr>
        <w:t>los</w:t>
      </w:r>
      <w:r w:rsidR="00E57DFE">
        <w:rPr>
          <w:sz w:val="22"/>
          <w:szCs w:val="22"/>
          <w:lang w:val="es"/>
        </w:rPr>
        <w:t xml:space="preserve"> </w:t>
      </w:r>
      <w:r w:rsidRPr="73282652" w:rsidR="334E4D01">
        <w:rPr>
          <w:sz w:val="22"/>
          <w:szCs w:val="22"/>
          <w:lang w:val="es"/>
        </w:rPr>
        <w:t>marcos</w:t>
      </w:r>
      <w:r w:rsidR="00E57DFE">
        <w:rPr>
          <w:sz w:val="22"/>
          <w:szCs w:val="22"/>
          <w:lang w:val="es"/>
        </w:rPr>
        <w:t xml:space="preserve"> </w:t>
      </w:r>
      <w:r w:rsidRPr="73282652" w:rsidR="334E4D01">
        <w:rPr>
          <w:sz w:val="22"/>
          <w:szCs w:val="22"/>
          <w:lang w:val="es"/>
        </w:rPr>
        <w:t>teóricos</w:t>
      </w:r>
      <w:r w:rsidR="00E57DFE">
        <w:rPr>
          <w:sz w:val="22"/>
          <w:szCs w:val="22"/>
          <w:lang w:val="es"/>
        </w:rPr>
        <w:t xml:space="preserve"> </w:t>
      </w:r>
      <w:r w:rsidRPr="73282652" w:rsidR="334E4D01">
        <w:rPr>
          <w:sz w:val="22"/>
          <w:szCs w:val="22"/>
          <w:lang w:val="es"/>
        </w:rPr>
        <w:t>más</w:t>
      </w:r>
      <w:r w:rsidR="00E57DFE">
        <w:rPr>
          <w:sz w:val="22"/>
          <w:szCs w:val="22"/>
          <w:lang w:val="es"/>
        </w:rPr>
        <w:t xml:space="preserve"> </w:t>
      </w:r>
      <w:r w:rsidRPr="73282652" w:rsidR="334E4D01">
        <w:rPr>
          <w:sz w:val="22"/>
          <w:szCs w:val="22"/>
          <w:lang w:val="es"/>
        </w:rPr>
        <w:t>sólidos</w:t>
      </w:r>
      <w:r w:rsidR="00E57DFE">
        <w:rPr>
          <w:sz w:val="22"/>
          <w:szCs w:val="22"/>
          <w:lang w:val="es"/>
        </w:rPr>
        <w:t xml:space="preserve"> </w:t>
      </w:r>
      <w:r w:rsidRPr="73282652" w:rsidR="334E4D01">
        <w:rPr>
          <w:sz w:val="22"/>
          <w:szCs w:val="22"/>
          <w:lang w:val="es"/>
        </w:rPr>
        <w:t>en</w:t>
      </w:r>
      <w:r w:rsidR="00E57DFE">
        <w:rPr>
          <w:sz w:val="22"/>
          <w:szCs w:val="22"/>
          <w:lang w:val="es"/>
        </w:rPr>
        <w:t xml:space="preserve"> </w:t>
      </w:r>
      <w:r w:rsidRPr="73282652" w:rsidR="334E4D01">
        <w:rPr>
          <w:sz w:val="22"/>
          <w:szCs w:val="22"/>
          <w:lang w:val="es"/>
        </w:rPr>
        <w:t>el</w:t>
      </w:r>
      <w:r w:rsidR="00E57DFE">
        <w:rPr>
          <w:sz w:val="22"/>
          <w:szCs w:val="22"/>
          <w:lang w:val="es"/>
        </w:rPr>
        <w:t xml:space="preserve"> </w:t>
      </w:r>
      <w:r w:rsidRPr="73282652" w:rsidR="334E4D01">
        <w:rPr>
          <w:sz w:val="22"/>
          <w:szCs w:val="22"/>
          <w:lang w:val="es"/>
        </w:rPr>
        <w:t>análisis</w:t>
      </w:r>
      <w:r w:rsidR="00E57DFE">
        <w:rPr>
          <w:sz w:val="22"/>
          <w:szCs w:val="22"/>
          <w:lang w:val="es"/>
        </w:rPr>
        <w:t xml:space="preserve"> </w:t>
      </w:r>
      <w:r w:rsidRPr="73282652" w:rsidR="334E4D01">
        <w:rPr>
          <w:sz w:val="22"/>
          <w:szCs w:val="22"/>
          <w:lang w:val="es"/>
        </w:rPr>
        <w:t>de</w:t>
      </w:r>
      <w:r w:rsidR="00E57DFE">
        <w:rPr>
          <w:sz w:val="22"/>
          <w:szCs w:val="22"/>
          <w:lang w:val="es"/>
        </w:rPr>
        <w:t xml:space="preserve"> </w:t>
      </w:r>
      <w:r w:rsidRPr="73282652" w:rsidR="334E4D01">
        <w:rPr>
          <w:sz w:val="22"/>
          <w:szCs w:val="22"/>
          <w:lang w:val="es"/>
        </w:rPr>
        <w:t>accidentes</w:t>
      </w:r>
      <w:r w:rsidR="00E57DFE">
        <w:rPr>
          <w:sz w:val="22"/>
          <w:szCs w:val="22"/>
          <w:lang w:val="es"/>
        </w:rPr>
        <w:t xml:space="preserve"> </w:t>
      </w:r>
      <w:r w:rsidRPr="73282652" w:rsidR="334E4D01">
        <w:rPr>
          <w:sz w:val="22"/>
          <w:szCs w:val="22"/>
          <w:lang w:val="es"/>
        </w:rPr>
        <w:t>organizacionales</w:t>
      </w:r>
      <w:r w:rsidR="00E57DFE">
        <w:rPr>
          <w:sz w:val="22"/>
          <w:szCs w:val="22"/>
          <w:lang w:val="es"/>
        </w:rPr>
        <w:t xml:space="preserve"> </w:t>
      </w:r>
      <w:r w:rsidRPr="73282652" w:rsidR="334E4D01">
        <w:rPr>
          <w:sz w:val="22"/>
          <w:szCs w:val="22"/>
          <w:lang w:val="es"/>
        </w:rPr>
        <w:t>en</w:t>
      </w:r>
      <w:r w:rsidR="00E57DFE">
        <w:rPr>
          <w:sz w:val="22"/>
          <w:szCs w:val="22"/>
          <w:lang w:val="es"/>
        </w:rPr>
        <w:t xml:space="preserve"> </w:t>
      </w:r>
      <w:r w:rsidRPr="73282652" w:rsidR="334E4D01">
        <w:rPr>
          <w:sz w:val="22"/>
          <w:szCs w:val="22"/>
          <w:lang w:val="es"/>
        </w:rPr>
        <w:t>sistemas</w:t>
      </w:r>
      <w:r w:rsidR="00E57DFE">
        <w:rPr>
          <w:sz w:val="22"/>
          <w:szCs w:val="22"/>
          <w:lang w:val="es"/>
        </w:rPr>
        <w:t xml:space="preserve"> </w:t>
      </w:r>
      <w:r w:rsidRPr="73282652" w:rsidR="334E4D01">
        <w:rPr>
          <w:sz w:val="22"/>
          <w:szCs w:val="22"/>
          <w:lang w:val="es"/>
        </w:rPr>
        <w:t>complejos.</w:t>
      </w:r>
      <w:r w:rsidR="00E57DFE">
        <w:rPr>
          <w:sz w:val="22"/>
          <w:szCs w:val="22"/>
          <w:lang w:val="es"/>
        </w:rPr>
        <w:t xml:space="preserve"> </w:t>
      </w:r>
      <w:r w:rsidRPr="73282652" w:rsidR="334E4D01">
        <w:rPr>
          <w:sz w:val="22"/>
          <w:szCs w:val="22"/>
          <w:lang w:val="es"/>
        </w:rPr>
        <w:t>Desarrollado</w:t>
      </w:r>
      <w:r w:rsidR="00E57DFE">
        <w:rPr>
          <w:sz w:val="22"/>
          <w:szCs w:val="22"/>
          <w:lang w:val="es"/>
        </w:rPr>
        <w:t xml:space="preserve"> </w:t>
      </w:r>
      <w:r w:rsidRPr="73282652" w:rsidR="334E4D01">
        <w:rPr>
          <w:sz w:val="22"/>
          <w:szCs w:val="22"/>
          <w:lang w:val="es"/>
        </w:rPr>
        <w:t>por</w:t>
      </w:r>
      <w:r w:rsidR="00E57DFE">
        <w:rPr>
          <w:sz w:val="22"/>
          <w:szCs w:val="22"/>
          <w:lang w:val="es"/>
        </w:rPr>
        <w:t xml:space="preserve"> </w:t>
      </w:r>
      <w:r w:rsidRPr="73282652" w:rsidR="334E4D01">
        <w:rPr>
          <w:sz w:val="22"/>
          <w:szCs w:val="22"/>
          <w:lang w:val="es"/>
        </w:rPr>
        <w:t>James</w:t>
      </w:r>
      <w:r w:rsidR="00E57DFE">
        <w:rPr>
          <w:sz w:val="22"/>
          <w:szCs w:val="22"/>
          <w:lang w:val="es"/>
        </w:rPr>
        <w:t xml:space="preserve"> </w:t>
      </w:r>
      <w:r w:rsidRPr="73282652" w:rsidR="334E4D01">
        <w:rPr>
          <w:sz w:val="22"/>
          <w:szCs w:val="22"/>
          <w:lang w:val="es"/>
        </w:rPr>
        <w:t>Reason,</w:t>
      </w:r>
      <w:r w:rsidR="00E57DFE">
        <w:rPr>
          <w:sz w:val="22"/>
          <w:szCs w:val="22"/>
          <w:lang w:val="es"/>
        </w:rPr>
        <w:t xml:space="preserve"> </w:t>
      </w:r>
      <w:r w:rsidRPr="73282652" w:rsidR="334E4D01">
        <w:rPr>
          <w:sz w:val="22"/>
          <w:szCs w:val="22"/>
          <w:lang w:val="es"/>
        </w:rPr>
        <w:t>este</w:t>
      </w:r>
      <w:r w:rsidR="00E57DFE">
        <w:rPr>
          <w:sz w:val="22"/>
          <w:szCs w:val="22"/>
          <w:lang w:val="es"/>
        </w:rPr>
        <w:t xml:space="preserve"> </w:t>
      </w:r>
      <w:r w:rsidRPr="73282652" w:rsidR="334E4D01">
        <w:rPr>
          <w:sz w:val="22"/>
          <w:szCs w:val="22"/>
          <w:lang w:val="es"/>
        </w:rPr>
        <w:t>modelo</w:t>
      </w:r>
      <w:r w:rsidR="00E57DFE">
        <w:rPr>
          <w:sz w:val="22"/>
          <w:szCs w:val="22"/>
          <w:lang w:val="es"/>
        </w:rPr>
        <w:t xml:space="preserve"> </w:t>
      </w:r>
      <w:r w:rsidRPr="73282652" w:rsidR="334E4D01">
        <w:rPr>
          <w:sz w:val="22"/>
          <w:szCs w:val="22"/>
          <w:lang w:val="es"/>
        </w:rPr>
        <w:t>propone</w:t>
      </w:r>
      <w:r w:rsidR="00E57DFE">
        <w:rPr>
          <w:sz w:val="22"/>
          <w:szCs w:val="22"/>
          <w:lang w:val="es"/>
        </w:rPr>
        <w:t xml:space="preserve"> </w:t>
      </w:r>
      <w:r w:rsidRPr="73282652" w:rsidR="334E4D01">
        <w:rPr>
          <w:sz w:val="22"/>
          <w:szCs w:val="22"/>
          <w:lang w:val="es"/>
        </w:rPr>
        <w:t>una</w:t>
      </w:r>
      <w:r w:rsidR="00E57DFE">
        <w:rPr>
          <w:sz w:val="22"/>
          <w:szCs w:val="22"/>
          <w:lang w:val="es"/>
        </w:rPr>
        <w:t xml:space="preserve"> </w:t>
      </w:r>
      <w:r w:rsidRPr="73282652" w:rsidR="334E4D01">
        <w:rPr>
          <w:sz w:val="22"/>
          <w:szCs w:val="22"/>
          <w:lang w:val="es"/>
        </w:rPr>
        <w:t>comprensión</w:t>
      </w:r>
      <w:r w:rsidR="00E57DFE">
        <w:rPr>
          <w:sz w:val="22"/>
          <w:szCs w:val="22"/>
          <w:lang w:val="es"/>
        </w:rPr>
        <w:t xml:space="preserve"> </w:t>
      </w:r>
      <w:r w:rsidRPr="73282652" w:rsidR="334E4D01">
        <w:rPr>
          <w:sz w:val="22"/>
          <w:szCs w:val="22"/>
          <w:lang w:val="es"/>
        </w:rPr>
        <w:t>estructural</w:t>
      </w:r>
      <w:r w:rsidR="00E57DFE">
        <w:rPr>
          <w:sz w:val="22"/>
          <w:szCs w:val="22"/>
          <w:lang w:val="es"/>
        </w:rPr>
        <w:t xml:space="preserve"> </w:t>
      </w:r>
      <w:r w:rsidRPr="73282652" w:rsidR="334E4D01">
        <w:rPr>
          <w:sz w:val="22"/>
          <w:szCs w:val="22"/>
          <w:lang w:val="es"/>
        </w:rPr>
        <w:t>del</w:t>
      </w:r>
      <w:r w:rsidR="00E57DFE">
        <w:rPr>
          <w:sz w:val="22"/>
          <w:szCs w:val="22"/>
          <w:lang w:val="es"/>
        </w:rPr>
        <w:t xml:space="preserve"> </w:t>
      </w:r>
      <w:r w:rsidRPr="73282652" w:rsidR="334E4D01">
        <w:rPr>
          <w:sz w:val="22"/>
          <w:szCs w:val="22"/>
          <w:lang w:val="es"/>
        </w:rPr>
        <w:t>riesgo,</w:t>
      </w:r>
      <w:r w:rsidR="00E57DFE">
        <w:rPr>
          <w:sz w:val="22"/>
          <w:szCs w:val="22"/>
          <w:lang w:val="es"/>
        </w:rPr>
        <w:t xml:space="preserve"> </w:t>
      </w:r>
      <w:r w:rsidRPr="73282652" w:rsidR="334E4D01">
        <w:rPr>
          <w:sz w:val="22"/>
          <w:szCs w:val="22"/>
          <w:lang w:val="es"/>
        </w:rPr>
        <w:t>desplazando</w:t>
      </w:r>
      <w:r w:rsidR="00E57DFE">
        <w:rPr>
          <w:sz w:val="22"/>
          <w:szCs w:val="22"/>
          <w:lang w:val="es"/>
        </w:rPr>
        <w:t xml:space="preserve"> </w:t>
      </w:r>
      <w:r w:rsidRPr="73282652" w:rsidR="334E4D01">
        <w:rPr>
          <w:sz w:val="22"/>
          <w:szCs w:val="22"/>
          <w:lang w:val="es"/>
        </w:rPr>
        <w:t>el</w:t>
      </w:r>
      <w:r w:rsidR="00E57DFE">
        <w:rPr>
          <w:sz w:val="22"/>
          <w:szCs w:val="22"/>
          <w:lang w:val="es"/>
        </w:rPr>
        <w:t xml:space="preserve"> </w:t>
      </w:r>
      <w:r w:rsidRPr="73282652" w:rsidR="334E4D01">
        <w:rPr>
          <w:sz w:val="22"/>
          <w:szCs w:val="22"/>
          <w:lang w:val="es"/>
        </w:rPr>
        <w:t>enfoque</w:t>
      </w:r>
      <w:r w:rsidR="00E57DFE">
        <w:rPr>
          <w:sz w:val="22"/>
          <w:szCs w:val="22"/>
          <w:lang w:val="es"/>
        </w:rPr>
        <w:t xml:space="preserve"> </w:t>
      </w:r>
      <w:r w:rsidRPr="73282652" w:rsidR="334E4D01">
        <w:rPr>
          <w:sz w:val="22"/>
          <w:szCs w:val="22"/>
          <w:lang w:val="es"/>
        </w:rPr>
        <w:t>desde</w:t>
      </w:r>
      <w:r w:rsidR="00E57DFE">
        <w:rPr>
          <w:sz w:val="22"/>
          <w:szCs w:val="22"/>
          <w:lang w:val="es"/>
        </w:rPr>
        <w:t xml:space="preserve"> </w:t>
      </w:r>
      <w:r w:rsidRPr="73282652" w:rsidR="334E4D01">
        <w:rPr>
          <w:sz w:val="22"/>
          <w:szCs w:val="22"/>
          <w:lang w:val="es"/>
        </w:rPr>
        <w:t>la</w:t>
      </w:r>
      <w:r w:rsidR="00E57DFE">
        <w:rPr>
          <w:sz w:val="22"/>
          <w:szCs w:val="22"/>
          <w:lang w:val="es"/>
        </w:rPr>
        <w:t xml:space="preserve"> </w:t>
      </w:r>
      <w:r w:rsidRPr="73282652" w:rsidR="334E4D01">
        <w:rPr>
          <w:sz w:val="22"/>
          <w:szCs w:val="22"/>
          <w:lang w:val="es"/>
        </w:rPr>
        <w:t>culpabilización</w:t>
      </w:r>
      <w:r w:rsidR="00E57DFE">
        <w:rPr>
          <w:sz w:val="22"/>
          <w:szCs w:val="22"/>
          <w:lang w:val="es"/>
        </w:rPr>
        <w:t xml:space="preserve"> </w:t>
      </w:r>
      <w:r w:rsidRPr="73282652" w:rsidR="334E4D01">
        <w:rPr>
          <w:sz w:val="22"/>
          <w:szCs w:val="22"/>
          <w:lang w:val="es"/>
        </w:rPr>
        <w:t>individual</w:t>
      </w:r>
      <w:r w:rsidR="004D7A03">
        <w:rPr>
          <w:sz w:val="22"/>
          <w:szCs w:val="22"/>
          <w:lang w:val="es"/>
        </w:rPr>
        <w:t xml:space="preserve"> </w:t>
      </w:r>
      <w:r w:rsidRPr="73282652" w:rsidR="334E4D01">
        <w:rPr>
          <w:sz w:val="22"/>
          <w:szCs w:val="22"/>
          <w:lang w:val="es"/>
        </w:rPr>
        <w:t>hacia</w:t>
      </w:r>
      <w:r w:rsidR="00E57DFE">
        <w:rPr>
          <w:sz w:val="22"/>
          <w:szCs w:val="22"/>
          <w:lang w:val="es"/>
        </w:rPr>
        <w:t xml:space="preserve"> </w:t>
      </w:r>
      <w:r w:rsidRPr="73282652" w:rsidR="334E4D01">
        <w:rPr>
          <w:sz w:val="22"/>
          <w:szCs w:val="22"/>
          <w:lang w:val="es"/>
        </w:rPr>
        <w:t>la</w:t>
      </w:r>
      <w:r w:rsidR="00E57DFE">
        <w:rPr>
          <w:sz w:val="22"/>
          <w:szCs w:val="22"/>
          <w:lang w:val="es"/>
        </w:rPr>
        <w:t xml:space="preserve"> </w:t>
      </w:r>
      <w:r w:rsidRPr="73282652" w:rsidR="334E4D01">
        <w:rPr>
          <w:sz w:val="22"/>
          <w:szCs w:val="22"/>
          <w:lang w:val="es"/>
        </w:rPr>
        <w:t>arquitectura</w:t>
      </w:r>
      <w:r w:rsidR="00E57DFE">
        <w:rPr>
          <w:sz w:val="22"/>
          <w:szCs w:val="22"/>
          <w:lang w:val="es"/>
        </w:rPr>
        <w:t xml:space="preserve"> </w:t>
      </w:r>
      <w:r w:rsidRPr="73282652" w:rsidR="334E4D01">
        <w:rPr>
          <w:sz w:val="22"/>
          <w:szCs w:val="22"/>
          <w:lang w:val="es"/>
        </w:rPr>
        <w:t>organizacional</w:t>
      </w:r>
      <w:r w:rsidR="00E57DFE">
        <w:rPr>
          <w:sz w:val="22"/>
          <w:szCs w:val="22"/>
          <w:lang w:val="es"/>
        </w:rPr>
        <w:t xml:space="preserve"> </w:t>
      </w:r>
      <w:r w:rsidRPr="73282652" w:rsidR="334E4D01">
        <w:rPr>
          <w:sz w:val="22"/>
          <w:szCs w:val="22"/>
          <w:lang w:val="es"/>
        </w:rPr>
        <w:t>que</w:t>
      </w:r>
      <w:r w:rsidR="00E57DFE">
        <w:rPr>
          <w:sz w:val="22"/>
          <w:szCs w:val="22"/>
          <w:lang w:val="es"/>
        </w:rPr>
        <w:t xml:space="preserve"> </w:t>
      </w:r>
      <w:r w:rsidRPr="73282652" w:rsidR="334E4D01">
        <w:rPr>
          <w:sz w:val="22"/>
          <w:szCs w:val="22"/>
          <w:lang w:val="es"/>
        </w:rPr>
        <w:t>condiciona</w:t>
      </w:r>
      <w:r w:rsidR="00E57DFE">
        <w:rPr>
          <w:sz w:val="22"/>
          <w:szCs w:val="22"/>
          <w:lang w:val="es"/>
        </w:rPr>
        <w:t xml:space="preserve"> </w:t>
      </w:r>
      <w:r w:rsidRPr="73282652" w:rsidR="334E4D01">
        <w:rPr>
          <w:sz w:val="22"/>
          <w:szCs w:val="22"/>
          <w:lang w:val="es"/>
        </w:rPr>
        <w:t>la</w:t>
      </w:r>
      <w:r w:rsidR="00FF038A">
        <w:rPr>
          <w:sz w:val="22"/>
          <w:szCs w:val="22"/>
          <w:lang w:val="es"/>
        </w:rPr>
        <w:t xml:space="preserve"> ocurrencia del error.</w:t>
      </w:r>
      <w:r w:rsidR="007E7631">
        <w:rPr>
          <w:sz w:val="22"/>
          <w:szCs w:val="22"/>
          <w:lang w:val="es"/>
        </w:rPr>
        <w:t xml:space="preserve"> Algunos de los conceptos abordados por la teoría se definen a continuación:</w:t>
      </w:r>
      <w:r w:rsidR="00E57DFE">
        <w:rPr>
          <w:sz w:val="22"/>
          <w:szCs w:val="22"/>
          <w:lang w:val="es"/>
        </w:rPr>
        <w:t xml:space="preserve"> </w:t>
      </w:r>
    </w:p>
    <w:p w:rsidRPr="004D7A03" w:rsidR="0062439E" w:rsidP="00C43EC5" w:rsidRDefault="334E4D01" w14:paraId="36D2F008" w14:textId="7641A481">
      <w:pPr>
        <w:jc w:val="both"/>
        <w:rPr>
          <w:sz w:val="22"/>
          <w:szCs w:val="22"/>
        </w:rPr>
      </w:pPr>
      <w:r w:rsidRPr="00FB0AD0">
        <w:rPr>
          <w:i/>
          <w:iCs/>
          <w:sz w:val="22"/>
          <w:szCs w:val="22"/>
          <w:lang w:val="es"/>
        </w:rPr>
        <w:t>Fundamentos</w:t>
      </w:r>
      <w:r w:rsidRPr="00FB0AD0" w:rsidR="00FB0AD0">
        <w:rPr>
          <w:i/>
          <w:iCs/>
          <w:sz w:val="22"/>
          <w:szCs w:val="22"/>
          <w:lang w:val="es"/>
        </w:rPr>
        <w:t xml:space="preserve"> </w:t>
      </w:r>
      <w:r w:rsidRPr="00FB0AD0">
        <w:rPr>
          <w:i/>
          <w:iCs/>
          <w:sz w:val="22"/>
          <w:szCs w:val="22"/>
          <w:lang w:val="es"/>
        </w:rPr>
        <w:t>epistemológicos</w:t>
      </w:r>
      <w:r w:rsidRPr="00FB0AD0" w:rsidR="00FB0AD0">
        <w:rPr>
          <w:i/>
          <w:iCs/>
        </w:rPr>
        <w:t>.</w:t>
      </w:r>
      <w:r w:rsidR="00FB0AD0">
        <w:t xml:space="preserve"> </w:t>
      </w:r>
      <w:r w:rsidRPr="73282652">
        <w:rPr>
          <w:sz w:val="22"/>
          <w:szCs w:val="22"/>
          <w:lang w:val="es"/>
        </w:rPr>
        <w:t>En</w:t>
      </w:r>
      <w:r w:rsidR="00E57DFE">
        <w:rPr>
          <w:sz w:val="22"/>
          <w:szCs w:val="22"/>
          <w:lang w:val="es"/>
        </w:rPr>
        <w:t xml:space="preserve"> </w:t>
      </w:r>
      <w:r w:rsidRPr="73282652">
        <w:rPr>
          <w:sz w:val="22"/>
          <w:szCs w:val="22"/>
          <w:lang w:val="es"/>
        </w:rPr>
        <w:t>Human</w:t>
      </w:r>
      <w:r w:rsidR="00E57DFE">
        <w:rPr>
          <w:sz w:val="22"/>
          <w:szCs w:val="22"/>
          <w:lang w:val="es"/>
        </w:rPr>
        <w:t xml:space="preserve"> </w:t>
      </w:r>
      <w:r w:rsidRPr="73282652">
        <w:rPr>
          <w:sz w:val="22"/>
          <w:szCs w:val="22"/>
          <w:lang w:val="es"/>
        </w:rPr>
        <w:t>Error,</w:t>
      </w:r>
      <w:r w:rsidR="00E57DFE">
        <w:rPr>
          <w:sz w:val="22"/>
          <w:szCs w:val="22"/>
          <w:lang w:val="es"/>
        </w:rPr>
        <w:t xml:space="preserve"> </w:t>
      </w:r>
      <w:r w:rsidRPr="73282652">
        <w:rPr>
          <w:sz w:val="22"/>
          <w:szCs w:val="22"/>
          <w:lang w:val="es"/>
        </w:rPr>
        <w:t>Reason</w:t>
      </w:r>
      <w:r w:rsidR="00E57DFE">
        <w:rPr>
          <w:sz w:val="22"/>
          <w:szCs w:val="22"/>
          <w:lang w:val="es"/>
        </w:rPr>
        <w:t xml:space="preserve"> </w:t>
      </w:r>
      <w:r w:rsidRPr="73282652">
        <w:rPr>
          <w:sz w:val="22"/>
          <w:szCs w:val="22"/>
          <w:lang w:val="es"/>
        </w:rPr>
        <w:t>(1990)</w:t>
      </w:r>
      <w:r w:rsidR="00E57DFE">
        <w:rPr>
          <w:sz w:val="22"/>
          <w:szCs w:val="22"/>
          <w:lang w:val="es"/>
        </w:rPr>
        <w:t xml:space="preserve"> </w:t>
      </w:r>
      <w:r w:rsidRPr="73282652">
        <w:rPr>
          <w:sz w:val="22"/>
          <w:szCs w:val="22"/>
          <w:lang w:val="es"/>
        </w:rPr>
        <w:t>establece</w:t>
      </w:r>
      <w:r w:rsidR="00E57DFE">
        <w:rPr>
          <w:sz w:val="22"/>
          <w:szCs w:val="22"/>
          <w:lang w:val="es"/>
        </w:rPr>
        <w:t xml:space="preserve"> </w:t>
      </w:r>
      <w:r w:rsidRPr="73282652">
        <w:rPr>
          <w:sz w:val="22"/>
          <w:szCs w:val="22"/>
          <w:lang w:val="es"/>
        </w:rPr>
        <w:t>una</w:t>
      </w:r>
      <w:r w:rsidR="00E57DFE">
        <w:rPr>
          <w:sz w:val="22"/>
          <w:szCs w:val="22"/>
          <w:lang w:val="es"/>
        </w:rPr>
        <w:t xml:space="preserve"> </w:t>
      </w:r>
      <w:r w:rsidRPr="73282652">
        <w:rPr>
          <w:sz w:val="22"/>
          <w:szCs w:val="22"/>
          <w:lang w:val="es"/>
        </w:rPr>
        <w:t>premisa</w:t>
      </w:r>
      <w:r w:rsidR="00E57DFE">
        <w:rPr>
          <w:sz w:val="22"/>
          <w:szCs w:val="22"/>
          <w:lang w:val="es"/>
        </w:rPr>
        <w:t xml:space="preserve"> </w:t>
      </w:r>
      <w:r w:rsidRPr="73282652">
        <w:rPr>
          <w:sz w:val="22"/>
          <w:szCs w:val="22"/>
          <w:lang w:val="es"/>
        </w:rPr>
        <w:t>fundamental:</w:t>
      </w:r>
      <w:r w:rsidR="00E57DFE">
        <w:rPr>
          <w:sz w:val="22"/>
          <w:szCs w:val="22"/>
          <w:lang w:val="es"/>
        </w:rPr>
        <w:t xml:space="preserve"> </w:t>
      </w:r>
      <w:r w:rsidRPr="00E12990" w:rsidR="009A48FB">
        <w:rPr>
          <w:i/>
          <w:iCs/>
          <w:sz w:val="22"/>
          <w:szCs w:val="22"/>
          <w:lang w:val="es-ES"/>
        </w:rPr>
        <w:t>“No podemos cambiar la condición humana, pero sí podemos cambiar las condiciones en las que trabajan los humanos</w:t>
      </w:r>
      <w:r w:rsidRPr="009A48FB" w:rsidR="009A48FB">
        <w:rPr>
          <w:sz w:val="22"/>
          <w:szCs w:val="22"/>
          <w:lang w:val="es-ES"/>
        </w:rPr>
        <w:t>”</w:t>
      </w:r>
      <w:r w:rsidR="00E12990">
        <w:rPr>
          <w:sz w:val="22"/>
          <w:szCs w:val="22"/>
        </w:rPr>
        <w:t xml:space="preserve">. </w:t>
      </w:r>
      <w:r w:rsidRPr="73282652">
        <w:rPr>
          <w:sz w:val="22"/>
          <w:szCs w:val="22"/>
          <w:lang w:val="es"/>
        </w:rPr>
        <w:t>Esta</w:t>
      </w:r>
      <w:r w:rsidR="00E57DFE">
        <w:rPr>
          <w:sz w:val="22"/>
          <w:szCs w:val="22"/>
          <w:lang w:val="es"/>
        </w:rPr>
        <w:t xml:space="preserve"> </w:t>
      </w:r>
      <w:r w:rsidRPr="73282652">
        <w:rPr>
          <w:sz w:val="22"/>
          <w:szCs w:val="22"/>
          <w:lang w:val="es"/>
        </w:rPr>
        <w:t>afirmación</w:t>
      </w:r>
      <w:r w:rsidR="00E57DFE">
        <w:rPr>
          <w:sz w:val="22"/>
          <w:szCs w:val="22"/>
          <w:lang w:val="es"/>
        </w:rPr>
        <w:t xml:space="preserve"> </w:t>
      </w:r>
      <w:r w:rsidRPr="73282652">
        <w:rPr>
          <w:sz w:val="22"/>
          <w:szCs w:val="22"/>
          <w:lang w:val="es"/>
        </w:rPr>
        <w:t>introduce</w:t>
      </w:r>
      <w:r w:rsidR="00E57DFE">
        <w:rPr>
          <w:sz w:val="22"/>
          <w:szCs w:val="22"/>
          <w:lang w:val="es"/>
        </w:rPr>
        <w:t xml:space="preserve"> </w:t>
      </w:r>
      <w:r w:rsidRPr="73282652">
        <w:rPr>
          <w:sz w:val="22"/>
          <w:szCs w:val="22"/>
          <w:lang w:val="es"/>
        </w:rPr>
        <w:t>una</w:t>
      </w:r>
      <w:r w:rsidR="00E57DFE">
        <w:rPr>
          <w:sz w:val="22"/>
          <w:szCs w:val="22"/>
          <w:lang w:val="es"/>
        </w:rPr>
        <w:t xml:space="preserve"> </w:t>
      </w:r>
      <w:r w:rsidRPr="73282652">
        <w:rPr>
          <w:sz w:val="22"/>
          <w:szCs w:val="22"/>
          <w:lang w:val="es"/>
        </w:rPr>
        <w:t>ruptura</w:t>
      </w:r>
      <w:r w:rsidR="00E57DFE">
        <w:rPr>
          <w:sz w:val="22"/>
          <w:szCs w:val="22"/>
          <w:lang w:val="es"/>
        </w:rPr>
        <w:t xml:space="preserve"> </w:t>
      </w:r>
      <w:r w:rsidRPr="73282652">
        <w:rPr>
          <w:sz w:val="22"/>
          <w:szCs w:val="22"/>
          <w:lang w:val="es"/>
        </w:rPr>
        <w:t>paradigmática,</w:t>
      </w:r>
      <w:r w:rsidR="00E57DFE">
        <w:rPr>
          <w:sz w:val="22"/>
          <w:szCs w:val="22"/>
          <w:lang w:val="es"/>
        </w:rPr>
        <w:t xml:space="preserve"> </w:t>
      </w:r>
      <w:r w:rsidRPr="73282652">
        <w:rPr>
          <w:sz w:val="22"/>
          <w:szCs w:val="22"/>
          <w:lang w:val="es"/>
        </w:rPr>
        <w:t>al</w:t>
      </w:r>
      <w:r w:rsidR="00E57DFE">
        <w:rPr>
          <w:sz w:val="22"/>
          <w:szCs w:val="22"/>
          <w:lang w:val="es"/>
        </w:rPr>
        <w:t xml:space="preserve"> </w:t>
      </w:r>
      <w:r w:rsidRPr="73282652">
        <w:rPr>
          <w:sz w:val="22"/>
          <w:szCs w:val="22"/>
          <w:lang w:val="es"/>
        </w:rPr>
        <w:t>reconocer</w:t>
      </w:r>
      <w:r w:rsidR="00E57DFE">
        <w:rPr>
          <w:sz w:val="22"/>
          <w:szCs w:val="22"/>
          <w:lang w:val="es"/>
        </w:rPr>
        <w:t xml:space="preserve"> </w:t>
      </w:r>
      <w:r w:rsidRPr="73282652">
        <w:rPr>
          <w:sz w:val="22"/>
          <w:szCs w:val="22"/>
          <w:lang w:val="es"/>
        </w:rPr>
        <w:t>que</w:t>
      </w:r>
      <w:r w:rsidR="00E57DFE">
        <w:rPr>
          <w:sz w:val="22"/>
          <w:szCs w:val="22"/>
          <w:lang w:val="es"/>
        </w:rPr>
        <w:t xml:space="preserve"> </w:t>
      </w:r>
      <w:r w:rsidRPr="73282652">
        <w:rPr>
          <w:sz w:val="22"/>
          <w:szCs w:val="22"/>
          <w:lang w:val="es"/>
        </w:rPr>
        <w:t>el</w:t>
      </w:r>
      <w:r w:rsidR="00E57DFE">
        <w:rPr>
          <w:sz w:val="22"/>
          <w:szCs w:val="22"/>
          <w:lang w:val="es"/>
        </w:rPr>
        <w:t xml:space="preserve"> </w:t>
      </w:r>
      <w:r w:rsidRPr="73282652">
        <w:rPr>
          <w:sz w:val="22"/>
          <w:szCs w:val="22"/>
          <w:lang w:val="es"/>
        </w:rPr>
        <w:t>error</w:t>
      </w:r>
      <w:r w:rsidR="00E57DFE">
        <w:rPr>
          <w:sz w:val="22"/>
          <w:szCs w:val="22"/>
          <w:lang w:val="es"/>
        </w:rPr>
        <w:t xml:space="preserve"> </w:t>
      </w:r>
      <w:r w:rsidRPr="73282652">
        <w:rPr>
          <w:sz w:val="22"/>
          <w:szCs w:val="22"/>
          <w:lang w:val="es"/>
        </w:rPr>
        <w:t>humano</w:t>
      </w:r>
      <w:r w:rsidR="00E57DFE">
        <w:rPr>
          <w:sz w:val="22"/>
          <w:szCs w:val="22"/>
          <w:lang w:val="es"/>
        </w:rPr>
        <w:t xml:space="preserve"> </w:t>
      </w:r>
      <w:r w:rsidRPr="73282652">
        <w:rPr>
          <w:sz w:val="22"/>
          <w:szCs w:val="22"/>
          <w:lang w:val="es"/>
        </w:rPr>
        <w:t>es</w:t>
      </w:r>
      <w:r w:rsidR="00E57DFE">
        <w:rPr>
          <w:sz w:val="22"/>
          <w:szCs w:val="22"/>
          <w:lang w:val="es"/>
        </w:rPr>
        <w:t xml:space="preserve"> </w:t>
      </w:r>
      <w:r w:rsidRPr="73282652">
        <w:rPr>
          <w:sz w:val="22"/>
          <w:szCs w:val="22"/>
          <w:lang w:val="es"/>
        </w:rPr>
        <w:t>inevitable,</w:t>
      </w:r>
      <w:r w:rsidR="00E57DFE">
        <w:rPr>
          <w:sz w:val="22"/>
          <w:szCs w:val="22"/>
          <w:lang w:val="es"/>
        </w:rPr>
        <w:t xml:space="preserve"> </w:t>
      </w:r>
      <w:r w:rsidRPr="73282652">
        <w:rPr>
          <w:sz w:val="22"/>
          <w:szCs w:val="22"/>
          <w:lang w:val="es"/>
        </w:rPr>
        <w:t>pero</w:t>
      </w:r>
      <w:r w:rsidR="00E57DFE">
        <w:rPr>
          <w:sz w:val="22"/>
          <w:szCs w:val="22"/>
          <w:lang w:val="es"/>
        </w:rPr>
        <w:t xml:space="preserve"> </w:t>
      </w:r>
      <w:r w:rsidRPr="73282652">
        <w:rPr>
          <w:sz w:val="22"/>
          <w:szCs w:val="22"/>
          <w:lang w:val="es"/>
        </w:rPr>
        <w:t>sus</w:t>
      </w:r>
      <w:r w:rsidR="00E57DFE">
        <w:rPr>
          <w:sz w:val="22"/>
          <w:szCs w:val="22"/>
          <w:lang w:val="es"/>
        </w:rPr>
        <w:t xml:space="preserve"> </w:t>
      </w:r>
      <w:r w:rsidRPr="73282652">
        <w:rPr>
          <w:sz w:val="22"/>
          <w:szCs w:val="22"/>
          <w:lang w:val="es"/>
        </w:rPr>
        <w:t>consecuencias</w:t>
      </w:r>
      <w:r w:rsidR="00E57DFE">
        <w:rPr>
          <w:sz w:val="22"/>
          <w:szCs w:val="22"/>
          <w:lang w:val="es"/>
        </w:rPr>
        <w:t xml:space="preserve"> </w:t>
      </w:r>
      <w:r w:rsidRPr="73282652">
        <w:rPr>
          <w:sz w:val="22"/>
          <w:szCs w:val="22"/>
          <w:lang w:val="es"/>
        </w:rPr>
        <w:t>pueden</w:t>
      </w:r>
      <w:r w:rsidR="0062439E">
        <w:rPr>
          <w:sz w:val="22"/>
          <w:szCs w:val="22"/>
          <w:lang w:val="es"/>
        </w:rPr>
        <w:t xml:space="preserve"> gestionarse mediante el diseño organizacional.</w:t>
      </w:r>
    </w:p>
    <w:p w:rsidR="0007119E" w:rsidP="00C43EC5" w:rsidRDefault="334E4D01" w14:paraId="17D51227" w14:textId="606ACA39">
      <w:pPr>
        <w:jc w:val="both"/>
        <w:rPr>
          <w:sz w:val="22"/>
          <w:szCs w:val="22"/>
          <w:lang w:val="es"/>
        </w:rPr>
      </w:pPr>
      <w:r w:rsidRPr="00282B40">
        <w:rPr>
          <w:i/>
          <w:iCs/>
          <w:sz w:val="22"/>
          <w:szCs w:val="22"/>
          <w:lang w:val="es"/>
        </w:rPr>
        <w:t>Multicausalidad</w:t>
      </w:r>
      <w:r w:rsidRPr="00282B40" w:rsidR="00E57DFE">
        <w:rPr>
          <w:i/>
          <w:iCs/>
          <w:sz w:val="22"/>
          <w:szCs w:val="22"/>
          <w:lang w:val="es"/>
        </w:rPr>
        <w:t xml:space="preserve"> </w:t>
      </w:r>
      <w:r w:rsidRPr="00282B40">
        <w:rPr>
          <w:i/>
          <w:iCs/>
          <w:sz w:val="22"/>
          <w:szCs w:val="22"/>
          <w:lang w:val="es"/>
        </w:rPr>
        <w:t>y</w:t>
      </w:r>
      <w:r w:rsidRPr="00282B40" w:rsidR="00E57DFE">
        <w:rPr>
          <w:i/>
          <w:iCs/>
          <w:sz w:val="22"/>
          <w:szCs w:val="22"/>
          <w:lang w:val="es"/>
        </w:rPr>
        <w:t xml:space="preserve"> </w:t>
      </w:r>
      <w:r w:rsidRPr="00282B40">
        <w:rPr>
          <w:i/>
          <w:iCs/>
          <w:sz w:val="22"/>
          <w:szCs w:val="22"/>
          <w:lang w:val="es"/>
        </w:rPr>
        <w:t>ruptura</w:t>
      </w:r>
      <w:r w:rsidRPr="00282B40" w:rsidR="00E57DFE">
        <w:rPr>
          <w:i/>
          <w:iCs/>
          <w:sz w:val="22"/>
          <w:szCs w:val="22"/>
          <w:lang w:val="es"/>
        </w:rPr>
        <w:t xml:space="preserve"> </w:t>
      </w:r>
      <w:r w:rsidRPr="00282B40">
        <w:rPr>
          <w:i/>
          <w:iCs/>
          <w:sz w:val="22"/>
          <w:szCs w:val="22"/>
          <w:lang w:val="es"/>
        </w:rPr>
        <w:t>del</w:t>
      </w:r>
      <w:r w:rsidRPr="00282B40" w:rsidR="00E57DFE">
        <w:rPr>
          <w:i/>
          <w:iCs/>
          <w:sz w:val="22"/>
          <w:szCs w:val="22"/>
          <w:lang w:val="es"/>
        </w:rPr>
        <w:t xml:space="preserve"> </w:t>
      </w:r>
      <w:r w:rsidRPr="00282B40">
        <w:rPr>
          <w:i/>
          <w:iCs/>
          <w:sz w:val="22"/>
          <w:szCs w:val="22"/>
          <w:lang w:val="es"/>
        </w:rPr>
        <w:t>modelo</w:t>
      </w:r>
      <w:r w:rsidRPr="00282B40" w:rsidR="00E57DFE">
        <w:rPr>
          <w:i/>
          <w:iCs/>
          <w:sz w:val="22"/>
          <w:szCs w:val="22"/>
          <w:lang w:val="es"/>
        </w:rPr>
        <w:t xml:space="preserve"> </w:t>
      </w:r>
      <w:r w:rsidRPr="00282B40">
        <w:rPr>
          <w:i/>
          <w:iCs/>
          <w:sz w:val="22"/>
          <w:szCs w:val="22"/>
          <w:lang w:val="es"/>
        </w:rPr>
        <w:t>lineal</w:t>
      </w:r>
      <w:r w:rsidR="00282B40">
        <w:t xml:space="preserve">. </w:t>
      </w:r>
      <w:r w:rsidRPr="73282652">
        <w:rPr>
          <w:sz w:val="22"/>
          <w:szCs w:val="22"/>
          <w:lang w:val="es"/>
        </w:rPr>
        <w:t>Reason</w:t>
      </w:r>
      <w:r w:rsidR="00E57DFE">
        <w:rPr>
          <w:sz w:val="22"/>
          <w:szCs w:val="22"/>
          <w:lang w:val="es"/>
        </w:rPr>
        <w:t xml:space="preserve"> </w:t>
      </w:r>
      <w:r w:rsidRPr="73282652">
        <w:rPr>
          <w:sz w:val="22"/>
          <w:szCs w:val="22"/>
          <w:lang w:val="es"/>
        </w:rPr>
        <w:t>(1997)</w:t>
      </w:r>
      <w:r w:rsidR="00E57DFE">
        <w:rPr>
          <w:sz w:val="22"/>
          <w:szCs w:val="22"/>
          <w:lang w:val="es"/>
        </w:rPr>
        <w:t xml:space="preserve"> </w:t>
      </w:r>
      <w:r w:rsidRPr="73282652">
        <w:rPr>
          <w:sz w:val="22"/>
          <w:szCs w:val="22"/>
          <w:lang w:val="es"/>
        </w:rPr>
        <w:t>afirma</w:t>
      </w:r>
      <w:r w:rsidR="00E57DFE">
        <w:rPr>
          <w:sz w:val="22"/>
          <w:szCs w:val="22"/>
          <w:lang w:val="es"/>
        </w:rPr>
        <w:t xml:space="preserve"> </w:t>
      </w:r>
      <w:r w:rsidRPr="73282652">
        <w:rPr>
          <w:sz w:val="22"/>
          <w:szCs w:val="22"/>
          <w:lang w:val="es"/>
        </w:rPr>
        <w:t>que</w:t>
      </w:r>
      <w:r w:rsidR="00E57DFE">
        <w:rPr>
          <w:sz w:val="22"/>
          <w:szCs w:val="22"/>
          <w:lang w:val="es"/>
        </w:rPr>
        <w:t xml:space="preserve"> </w:t>
      </w:r>
      <w:r w:rsidRPr="00135A13" w:rsidR="00135A13">
        <w:rPr>
          <w:i/>
          <w:iCs/>
          <w:sz w:val="22"/>
          <w:szCs w:val="22"/>
          <w:lang w:val="es"/>
        </w:rPr>
        <w:t>“l</w:t>
      </w:r>
      <w:r w:rsidRPr="00135A13" w:rsidR="00135A13">
        <w:rPr>
          <w:i/>
          <w:iCs/>
          <w:sz w:val="22"/>
          <w:szCs w:val="22"/>
          <w:lang w:val="es-ES"/>
        </w:rPr>
        <w:t>os accidentes organizacionales son producto de la combinación de fallas activas y condiciones latentes”</w:t>
      </w:r>
      <w:r w:rsidRPr="00135A13" w:rsidR="00135A13">
        <w:rPr>
          <w:i/>
          <w:iCs/>
          <w:sz w:val="22"/>
          <w:szCs w:val="22"/>
        </w:rPr>
        <w:t>.</w:t>
      </w:r>
      <w:r w:rsidR="00135A13">
        <w:rPr>
          <w:sz w:val="22"/>
          <w:szCs w:val="22"/>
        </w:rPr>
        <w:t xml:space="preserve"> </w:t>
      </w:r>
      <w:r w:rsidRPr="73282652">
        <w:rPr>
          <w:sz w:val="22"/>
          <w:szCs w:val="22"/>
          <w:lang w:val="es"/>
        </w:rPr>
        <w:t>Esta</w:t>
      </w:r>
      <w:r w:rsidR="00E57DFE">
        <w:rPr>
          <w:sz w:val="22"/>
          <w:szCs w:val="22"/>
          <w:lang w:val="es"/>
        </w:rPr>
        <w:t xml:space="preserve"> </w:t>
      </w:r>
      <w:r w:rsidRPr="73282652">
        <w:rPr>
          <w:sz w:val="22"/>
          <w:szCs w:val="22"/>
          <w:lang w:val="es"/>
        </w:rPr>
        <w:t>formulación</w:t>
      </w:r>
      <w:r w:rsidR="00E57DFE">
        <w:rPr>
          <w:sz w:val="22"/>
          <w:szCs w:val="22"/>
          <w:lang w:val="es"/>
        </w:rPr>
        <w:t xml:space="preserve"> </w:t>
      </w:r>
      <w:r w:rsidRPr="73282652">
        <w:rPr>
          <w:sz w:val="22"/>
          <w:szCs w:val="22"/>
          <w:lang w:val="es"/>
        </w:rPr>
        <w:t>rechaza</w:t>
      </w:r>
      <w:r w:rsidR="00E57DFE">
        <w:rPr>
          <w:sz w:val="22"/>
          <w:szCs w:val="22"/>
          <w:lang w:val="es"/>
        </w:rPr>
        <w:t xml:space="preserve"> </w:t>
      </w:r>
      <w:r w:rsidRPr="73282652">
        <w:rPr>
          <w:sz w:val="22"/>
          <w:szCs w:val="22"/>
          <w:lang w:val="es"/>
        </w:rPr>
        <w:t>la</w:t>
      </w:r>
      <w:r w:rsidR="00E57DFE">
        <w:rPr>
          <w:sz w:val="22"/>
          <w:szCs w:val="22"/>
          <w:lang w:val="es"/>
        </w:rPr>
        <w:t xml:space="preserve"> </w:t>
      </w:r>
      <w:r w:rsidRPr="73282652">
        <w:rPr>
          <w:sz w:val="22"/>
          <w:szCs w:val="22"/>
          <w:lang w:val="es"/>
        </w:rPr>
        <w:t>causalidad</w:t>
      </w:r>
      <w:r w:rsidR="00E57DFE">
        <w:rPr>
          <w:sz w:val="22"/>
          <w:szCs w:val="22"/>
          <w:lang w:val="es"/>
        </w:rPr>
        <w:t xml:space="preserve"> </w:t>
      </w:r>
      <w:r w:rsidRPr="73282652">
        <w:rPr>
          <w:sz w:val="22"/>
          <w:szCs w:val="22"/>
          <w:lang w:val="es"/>
        </w:rPr>
        <w:t>lineal</w:t>
      </w:r>
      <w:r w:rsidR="00E57DFE">
        <w:rPr>
          <w:sz w:val="22"/>
          <w:szCs w:val="22"/>
          <w:lang w:val="es"/>
        </w:rPr>
        <w:t xml:space="preserve"> </w:t>
      </w:r>
      <w:r w:rsidRPr="73282652">
        <w:rPr>
          <w:sz w:val="22"/>
          <w:szCs w:val="22"/>
          <w:lang w:val="es"/>
        </w:rPr>
        <w:t>simple</w:t>
      </w:r>
      <w:r w:rsidR="00E57DFE">
        <w:rPr>
          <w:sz w:val="22"/>
          <w:szCs w:val="22"/>
          <w:lang w:val="es"/>
        </w:rPr>
        <w:t xml:space="preserve"> </w:t>
      </w:r>
      <w:r w:rsidRPr="73282652">
        <w:rPr>
          <w:sz w:val="22"/>
          <w:szCs w:val="22"/>
          <w:lang w:val="es"/>
        </w:rPr>
        <w:t>y</w:t>
      </w:r>
      <w:r w:rsidR="00E57DFE">
        <w:rPr>
          <w:sz w:val="22"/>
          <w:szCs w:val="22"/>
          <w:lang w:val="es"/>
        </w:rPr>
        <w:t xml:space="preserve"> </w:t>
      </w:r>
      <w:r w:rsidRPr="73282652">
        <w:rPr>
          <w:sz w:val="22"/>
          <w:szCs w:val="22"/>
          <w:lang w:val="es"/>
        </w:rPr>
        <w:t>adopta</w:t>
      </w:r>
      <w:r w:rsidR="00E57DFE">
        <w:rPr>
          <w:sz w:val="22"/>
          <w:szCs w:val="22"/>
          <w:lang w:val="es"/>
        </w:rPr>
        <w:t xml:space="preserve"> </w:t>
      </w:r>
      <w:r w:rsidRPr="73282652">
        <w:rPr>
          <w:sz w:val="22"/>
          <w:szCs w:val="22"/>
          <w:lang w:val="es"/>
        </w:rPr>
        <w:t>una</w:t>
      </w:r>
      <w:r w:rsidR="00E57DFE">
        <w:rPr>
          <w:sz w:val="22"/>
          <w:szCs w:val="22"/>
          <w:lang w:val="es"/>
        </w:rPr>
        <w:t xml:space="preserve"> </w:t>
      </w:r>
      <w:r w:rsidRPr="73282652">
        <w:rPr>
          <w:sz w:val="22"/>
          <w:szCs w:val="22"/>
          <w:lang w:val="es"/>
        </w:rPr>
        <w:t>perspectiva</w:t>
      </w:r>
      <w:r w:rsidR="00E57DFE">
        <w:rPr>
          <w:sz w:val="22"/>
          <w:szCs w:val="22"/>
          <w:lang w:val="es"/>
        </w:rPr>
        <w:t xml:space="preserve"> </w:t>
      </w:r>
      <w:r w:rsidRPr="73282652">
        <w:rPr>
          <w:sz w:val="22"/>
          <w:szCs w:val="22"/>
          <w:lang w:val="es"/>
        </w:rPr>
        <w:t>sistémica</w:t>
      </w:r>
      <w:r w:rsidR="00E57DFE">
        <w:rPr>
          <w:sz w:val="22"/>
          <w:szCs w:val="22"/>
          <w:lang w:val="es"/>
        </w:rPr>
        <w:t xml:space="preserve"> </w:t>
      </w:r>
      <w:r w:rsidRPr="73282652">
        <w:rPr>
          <w:sz w:val="22"/>
          <w:szCs w:val="22"/>
          <w:lang w:val="es"/>
        </w:rPr>
        <w:t>y</w:t>
      </w:r>
      <w:r w:rsidR="00E57DFE">
        <w:rPr>
          <w:sz w:val="22"/>
          <w:szCs w:val="22"/>
          <w:lang w:val="es"/>
        </w:rPr>
        <w:t xml:space="preserve"> </w:t>
      </w:r>
      <w:r w:rsidRPr="73282652">
        <w:rPr>
          <w:sz w:val="22"/>
          <w:szCs w:val="22"/>
          <w:lang w:val="es"/>
        </w:rPr>
        <w:t>multicausa</w:t>
      </w:r>
      <w:r w:rsidR="0007119E">
        <w:rPr>
          <w:sz w:val="22"/>
          <w:szCs w:val="22"/>
          <w:lang w:val="es"/>
        </w:rPr>
        <w:t>l del accidente.</w:t>
      </w:r>
    </w:p>
    <w:p w:rsidR="00121B73" w:rsidP="00C43EC5" w:rsidRDefault="334E4D01" w14:paraId="3ADBB35B" w14:textId="77777777">
      <w:pPr>
        <w:spacing w:after="0"/>
        <w:jc w:val="both"/>
        <w:rPr>
          <w:sz w:val="22"/>
          <w:szCs w:val="22"/>
          <w:lang w:val="es"/>
        </w:rPr>
      </w:pPr>
      <w:r w:rsidRPr="00282B40">
        <w:rPr>
          <w:i/>
          <w:iCs/>
          <w:sz w:val="22"/>
          <w:szCs w:val="22"/>
          <w:lang w:val="es"/>
        </w:rPr>
        <w:t>Fallas</w:t>
      </w:r>
      <w:r w:rsidRPr="00282B40" w:rsidR="00E57DFE">
        <w:rPr>
          <w:i/>
          <w:iCs/>
          <w:sz w:val="22"/>
          <w:szCs w:val="22"/>
          <w:lang w:val="es"/>
        </w:rPr>
        <w:t xml:space="preserve"> </w:t>
      </w:r>
      <w:r w:rsidRPr="00282B40">
        <w:rPr>
          <w:i/>
          <w:iCs/>
          <w:sz w:val="22"/>
          <w:szCs w:val="22"/>
          <w:lang w:val="es"/>
        </w:rPr>
        <w:t>activas</w:t>
      </w:r>
      <w:r w:rsidR="00282B40">
        <w:t xml:space="preserve">. </w:t>
      </w:r>
      <w:r w:rsidRPr="73282652">
        <w:rPr>
          <w:sz w:val="22"/>
          <w:szCs w:val="22"/>
          <w:lang w:val="es"/>
        </w:rPr>
        <w:t>Las</w:t>
      </w:r>
      <w:r w:rsidR="00E57DFE">
        <w:rPr>
          <w:sz w:val="22"/>
          <w:szCs w:val="22"/>
          <w:lang w:val="es"/>
        </w:rPr>
        <w:t xml:space="preserve"> </w:t>
      </w:r>
      <w:r w:rsidRPr="73282652">
        <w:rPr>
          <w:sz w:val="22"/>
          <w:szCs w:val="22"/>
          <w:lang w:val="es"/>
        </w:rPr>
        <w:t>fallas</w:t>
      </w:r>
      <w:r w:rsidR="00E57DFE">
        <w:rPr>
          <w:sz w:val="22"/>
          <w:szCs w:val="22"/>
          <w:lang w:val="es"/>
        </w:rPr>
        <w:t xml:space="preserve"> </w:t>
      </w:r>
      <w:r w:rsidRPr="73282652">
        <w:rPr>
          <w:sz w:val="22"/>
          <w:szCs w:val="22"/>
          <w:lang w:val="es"/>
        </w:rPr>
        <w:t>activas</w:t>
      </w:r>
      <w:r w:rsidR="00E57DFE">
        <w:rPr>
          <w:sz w:val="22"/>
          <w:szCs w:val="22"/>
          <w:lang w:val="es"/>
        </w:rPr>
        <w:t xml:space="preserve"> </w:t>
      </w:r>
      <w:r w:rsidRPr="73282652">
        <w:rPr>
          <w:sz w:val="22"/>
          <w:szCs w:val="22"/>
          <w:lang w:val="es"/>
        </w:rPr>
        <w:t>corresponden</w:t>
      </w:r>
      <w:r w:rsidR="00E57DFE">
        <w:rPr>
          <w:sz w:val="22"/>
          <w:szCs w:val="22"/>
          <w:lang w:val="es"/>
        </w:rPr>
        <w:t xml:space="preserve"> </w:t>
      </w:r>
      <w:r w:rsidRPr="73282652">
        <w:rPr>
          <w:sz w:val="22"/>
          <w:szCs w:val="22"/>
          <w:lang w:val="es"/>
        </w:rPr>
        <w:t>a</w:t>
      </w:r>
      <w:r w:rsidR="00E57DFE">
        <w:rPr>
          <w:sz w:val="22"/>
          <w:szCs w:val="22"/>
          <w:lang w:val="es"/>
        </w:rPr>
        <w:t xml:space="preserve"> </w:t>
      </w:r>
      <w:r w:rsidRPr="73282652">
        <w:rPr>
          <w:sz w:val="22"/>
          <w:szCs w:val="22"/>
          <w:lang w:val="es"/>
        </w:rPr>
        <w:t>errores</w:t>
      </w:r>
      <w:r w:rsidR="00E57DFE">
        <w:rPr>
          <w:sz w:val="22"/>
          <w:szCs w:val="22"/>
          <w:lang w:val="es"/>
        </w:rPr>
        <w:t xml:space="preserve"> </w:t>
      </w:r>
      <w:r w:rsidRPr="73282652">
        <w:rPr>
          <w:sz w:val="22"/>
          <w:szCs w:val="22"/>
          <w:lang w:val="es"/>
        </w:rPr>
        <w:t>operativos,</w:t>
      </w:r>
      <w:r w:rsidR="00E57DFE">
        <w:rPr>
          <w:sz w:val="22"/>
          <w:szCs w:val="22"/>
          <w:lang w:val="es"/>
        </w:rPr>
        <w:t xml:space="preserve"> </w:t>
      </w:r>
      <w:r w:rsidRPr="73282652">
        <w:rPr>
          <w:sz w:val="22"/>
          <w:szCs w:val="22"/>
          <w:lang w:val="es"/>
        </w:rPr>
        <w:t>lapsus,</w:t>
      </w:r>
      <w:r w:rsidR="00E57DFE">
        <w:rPr>
          <w:sz w:val="22"/>
          <w:szCs w:val="22"/>
          <w:lang w:val="es"/>
        </w:rPr>
        <w:t xml:space="preserve"> </w:t>
      </w:r>
      <w:r w:rsidRPr="73282652">
        <w:rPr>
          <w:sz w:val="22"/>
          <w:szCs w:val="22"/>
          <w:lang w:val="es"/>
        </w:rPr>
        <w:t>equivocaciones</w:t>
      </w:r>
      <w:r w:rsidR="00E57DFE">
        <w:rPr>
          <w:sz w:val="22"/>
          <w:szCs w:val="22"/>
          <w:lang w:val="es"/>
        </w:rPr>
        <w:t xml:space="preserve"> </w:t>
      </w:r>
      <w:r w:rsidRPr="73282652">
        <w:rPr>
          <w:sz w:val="22"/>
          <w:szCs w:val="22"/>
          <w:lang w:val="es"/>
        </w:rPr>
        <w:t>o</w:t>
      </w:r>
      <w:r w:rsidR="00E57DFE">
        <w:rPr>
          <w:sz w:val="22"/>
          <w:szCs w:val="22"/>
          <w:lang w:val="es"/>
        </w:rPr>
        <w:t xml:space="preserve"> </w:t>
      </w:r>
      <w:r w:rsidRPr="73282652">
        <w:rPr>
          <w:sz w:val="22"/>
          <w:szCs w:val="22"/>
          <w:lang w:val="es"/>
        </w:rPr>
        <w:t>violaciones</w:t>
      </w:r>
      <w:r w:rsidR="00E57DFE">
        <w:rPr>
          <w:sz w:val="22"/>
          <w:szCs w:val="22"/>
          <w:lang w:val="es"/>
        </w:rPr>
        <w:t xml:space="preserve"> </w:t>
      </w:r>
      <w:r w:rsidRPr="73282652">
        <w:rPr>
          <w:sz w:val="22"/>
          <w:szCs w:val="22"/>
          <w:lang w:val="es"/>
        </w:rPr>
        <w:t>cometidas</w:t>
      </w:r>
      <w:r w:rsidR="00E57DFE">
        <w:rPr>
          <w:sz w:val="22"/>
          <w:szCs w:val="22"/>
          <w:lang w:val="es"/>
        </w:rPr>
        <w:t xml:space="preserve"> </w:t>
      </w:r>
      <w:r w:rsidRPr="73282652">
        <w:rPr>
          <w:sz w:val="22"/>
          <w:szCs w:val="22"/>
          <w:lang w:val="es"/>
        </w:rPr>
        <w:t>por</w:t>
      </w:r>
      <w:r w:rsidR="00E57DFE">
        <w:rPr>
          <w:sz w:val="22"/>
          <w:szCs w:val="22"/>
          <w:lang w:val="es"/>
        </w:rPr>
        <w:t xml:space="preserve"> </w:t>
      </w:r>
      <w:r w:rsidRPr="73282652">
        <w:rPr>
          <w:sz w:val="22"/>
          <w:szCs w:val="22"/>
          <w:lang w:val="es"/>
        </w:rPr>
        <w:t>individuos</w:t>
      </w:r>
      <w:r w:rsidR="00E57DFE">
        <w:rPr>
          <w:sz w:val="22"/>
          <w:szCs w:val="22"/>
          <w:lang w:val="es"/>
        </w:rPr>
        <w:t xml:space="preserve"> </w:t>
      </w:r>
      <w:r w:rsidRPr="73282652">
        <w:rPr>
          <w:sz w:val="22"/>
          <w:szCs w:val="22"/>
          <w:lang w:val="es"/>
        </w:rPr>
        <w:t>en</w:t>
      </w:r>
      <w:r w:rsidR="00E57DFE">
        <w:rPr>
          <w:sz w:val="22"/>
          <w:szCs w:val="22"/>
          <w:lang w:val="es"/>
        </w:rPr>
        <w:t xml:space="preserve"> </w:t>
      </w:r>
      <w:r w:rsidRPr="73282652">
        <w:rPr>
          <w:sz w:val="22"/>
          <w:szCs w:val="22"/>
          <w:lang w:val="es"/>
        </w:rPr>
        <w:t>contacto</w:t>
      </w:r>
      <w:r w:rsidR="00E57DFE">
        <w:rPr>
          <w:sz w:val="22"/>
          <w:szCs w:val="22"/>
          <w:lang w:val="es"/>
        </w:rPr>
        <w:t xml:space="preserve"> </w:t>
      </w:r>
      <w:r w:rsidRPr="73282652">
        <w:rPr>
          <w:sz w:val="22"/>
          <w:szCs w:val="22"/>
          <w:lang w:val="es"/>
        </w:rPr>
        <w:t>directo</w:t>
      </w:r>
      <w:r w:rsidR="00E57DFE">
        <w:rPr>
          <w:sz w:val="22"/>
          <w:szCs w:val="22"/>
          <w:lang w:val="es"/>
        </w:rPr>
        <w:t xml:space="preserve"> </w:t>
      </w:r>
      <w:r w:rsidRPr="73282652">
        <w:rPr>
          <w:sz w:val="22"/>
          <w:szCs w:val="22"/>
          <w:lang w:val="es"/>
        </w:rPr>
        <w:t>con</w:t>
      </w:r>
      <w:r w:rsidR="00E57DFE">
        <w:rPr>
          <w:sz w:val="22"/>
          <w:szCs w:val="22"/>
          <w:lang w:val="es"/>
        </w:rPr>
        <w:t xml:space="preserve"> </w:t>
      </w:r>
      <w:r w:rsidRPr="73282652">
        <w:rPr>
          <w:sz w:val="22"/>
          <w:szCs w:val="22"/>
          <w:lang w:val="es"/>
        </w:rPr>
        <w:t>el</w:t>
      </w:r>
      <w:r w:rsidR="00E57DFE">
        <w:rPr>
          <w:sz w:val="22"/>
          <w:szCs w:val="22"/>
          <w:lang w:val="es"/>
        </w:rPr>
        <w:t xml:space="preserve"> </w:t>
      </w:r>
      <w:r w:rsidRPr="73282652">
        <w:rPr>
          <w:sz w:val="22"/>
          <w:szCs w:val="22"/>
          <w:lang w:val="es"/>
        </w:rPr>
        <w:t>sistema.</w:t>
      </w:r>
      <w:r w:rsidR="00E57DFE">
        <w:rPr>
          <w:sz w:val="22"/>
          <w:szCs w:val="22"/>
          <w:lang w:val="es"/>
        </w:rPr>
        <w:t xml:space="preserve"> </w:t>
      </w:r>
      <w:r w:rsidRPr="73282652">
        <w:rPr>
          <w:sz w:val="22"/>
          <w:szCs w:val="22"/>
          <w:lang w:val="es"/>
        </w:rPr>
        <w:t>Según</w:t>
      </w:r>
      <w:r w:rsidR="00E57DFE">
        <w:rPr>
          <w:sz w:val="22"/>
          <w:szCs w:val="22"/>
          <w:lang w:val="es"/>
        </w:rPr>
        <w:t xml:space="preserve"> </w:t>
      </w:r>
      <w:r w:rsidRPr="73282652">
        <w:rPr>
          <w:sz w:val="22"/>
          <w:szCs w:val="22"/>
          <w:lang w:val="es"/>
        </w:rPr>
        <w:t>Reason</w:t>
      </w:r>
      <w:r w:rsidR="00E57DFE">
        <w:rPr>
          <w:sz w:val="22"/>
          <w:szCs w:val="22"/>
          <w:lang w:val="es"/>
        </w:rPr>
        <w:t xml:space="preserve"> </w:t>
      </w:r>
      <w:r w:rsidRPr="73282652">
        <w:rPr>
          <w:sz w:val="22"/>
          <w:szCs w:val="22"/>
          <w:lang w:val="es"/>
        </w:rPr>
        <w:t>(1990),</w:t>
      </w:r>
      <w:r w:rsidR="00E57DFE">
        <w:rPr>
          <w:sz w:val="22"/>
          <w:szCs w:val="22"/>
          <w:lang w:val="es"/>
        </w:rPr>
        <w:t xml:space="preserve"> </w:t>
      </w:r>
      <w:r w:rsidRPr="73282652">
        <w:rPr>
          <w:sz w:val="22"/>
          <w:szCs w:val="22"/>
          <w:lang w:val="es"/>
        </w:rPr>
        <w:t>el</w:t>
      </w:r>
      <w:r w:rsidR="00E57DFE">
        <w:rPr>
          <w:sz w:val="22"/>
          <w:szCs w:val="22"/>
          <w:lang w:val="es"/>
        </w:rPr>
        <w:t xml:space="preserve"> </w:t>
      </w:r>
      <w:r w:rsidRPr="73282652">
        <w:rPr>
          <w:sz w:val="22"/>
          <w:szCs w:val="22"/>
          <w:lang w:val="es"/>
        </w:rPr>
        <w:t>error</w:t>
      </w:r>
      <w:r w:rsidR="00E57DFE">
        <w:rPr>
          <w:sz w:val="22"/>
          <w:szCs w:val="22"/>
          <w:lang w:val="es"/>
        </w:rPr>
        <w:t xml:space="preserve"> </w:t>
      </w:r>
      <w:r w:rsidRPr="73282652">
        <w:rPr>
          <w:sz w:val="22"/>
          <w:szCs w:val="22"/>
          <w:lang w:val="es"/>
        </w:rPr>
        <w:t>es</w:t>
      </w:r>
      <w:r w:rsidR="00E57DFE">
        <w:rPr>
          <w:sz w:val="22"/>
          <w:szCs w:val="22"/>
          <w:lang w:val="es"/>
        </w:rPr>
        <w:t xml:space="preserve"> </w:t>
      </w:r>
      <w:r w:rsidRPr="00A17245" w:rsidR="00A17245">
        <w:rPr>
          <w:sz w:val="22"/>
          <w:szCs w:val="22"/>
          <w:lang w:val="es-ES"/>
        </w:rPr>
        <w:t>“un fracaso de las acciones planificadas para lograr las consecuencias previstas</w:t>
      </w:r>
      <w:r w:rsidRPr="73282652" w:rsidR="00A17245">
        <w:rPr>
          <w:sz w:val="22"/>
          <w:szCs w:val="22"/>
          <w:lang w:val="es"/>
        </w:rPr>
        <w:t>”</w:t>
      </w:r>
      <w:r w:rsidR="00A17245">
        <w:rPr>
          <w:sz w:val="22"/>
          <w:szCs w:val="22"/>
          <w:lang w:val="es"/>
        </w:rPr>
        <w:t>.</w:t>
      </w:r>
      <w:r w:rsidR="00E57DFE">
        <w:rPr>
          <w:sz w:val="22"/>
          <w:szCs w:val="22"/>
          <w:lang w:val="es"/>
        </w:rPr>
        <w:t xml:space="preserve"> </w:t>
      </w:r>
      <w:r w:rsidRPr="73282652">
        <w:rPr>
          <w:sz w:val="22"/>
          <w:szCs w:val="22"/>
          <w:lang w:val="es"/>
        </w:rPr>
        <w:t>Estas</w:t>
      </w:r>
      <w:r w:rsidR="00E57DFE">
        <w:rPr>
          <w:sz w:val="22"/>
          <w:szCs w:val="22"/>
          <w:lang w:val="es"/>
        </w:rPr>
        <w:t xml:space="preserve"> </w:t>
      </w:r>
      <w:r w:rsidRPr="73282652">
        <w:rPr>
          <w:sz w:val="22"/>
          <w:szCs w:val="22"/>
          <w:lang w:val="es"/>
        </w:rPr>
        <w:t>fallas</w:t>
      </w:r>
      <w:r w:rsidR="00E57DFE">
        <w:rPr>
          <w:sz w:val="22"/>
          <w:szCs w:val="22"/>
          <w:lang w:val="es"/>
        </w:rPr>
        <w:t xml:space="preserve"> </w:t>
      </w:r>
      <w:r w:rsidRPr="73282652">
        <w:rPr>
          <w:sz w:val="22"/>
          <w:szCs w:val="22"/>
          <w:lang w:val="es"/>
        </w:rPr>
        <w:t>suelen</w:t>
      </w:r>
      <w:r w:rsidR="00E57DFE">
        <w:rPr>
          <w:sz w:val="22"/>
          <w:szCs w:val="22"/>
          <w:lang w:val="es"/>
        </w:rPr>
        <w:t xml:space="preserve"> </w:t>
      </w:r>
      <w:r w:rsidRPr="73282652">
        <w:rPr>
          <w:sz w:val="22"/>
          <w:szCs w:val="22"/>
          <w:lang w:val="es"/>
        </w:rPr>
        <w:t>ser</w:t>
      </w:r>
      <w:r w:rsidR="00E57DFE">
        <w:rPr>
          <w:sz w:val="22"/>
          <w:szCs w:val="22"/>
          <w:lang w:val="es"/>
        </w:rPr>
        <w:t xml:space="preserve"> </w:t>
      </w:r>
      <w:r w:rsidRPr="73282652">
        <w:rPr>
          <w:sz w:val="22"/>
          <w:szCs w:val="22"/>
          <w:lang w:val="es"/>
        </w:rPr>
        <w:t>visibles,</w:t>
      </w:r>
      <w:r w:rsidR="00E57DFE">
        <w:rPr>
          <w:sz w:val="22"/>
          <w:szCs w:val="22"/>
          <w:lang w:val="es"/>
        </w:rPr>
        <w:t xml:space="preserve"> </w:t>
      </w:r>
      <w:r w:rsidRPr="73282652">
        <w:rPr>
          <w:sz w:val="22"/>
          <w:szCs w:val="22"/>
          <w:lang w:val="es"/>
        </w:rPr>
        <w:t>pero</w:t>
      </w:r>
      <w:r w:rsidR="00E57DFE">
        <w:rPr>
          <w:sz w:val="22"/>
          <w:szCs w:val="22"/>
          <w:lang w:val="es"/>
        </w:rPr>
        <w:t xml:space="preserve"> </w:t>
      </w:r>
      <w:r w:rsidRPr="73282652">
        <w:rPr>
          <w:sz w:val="22"/>
          <w:szCs w:val="22"/>
          <w:lang w:val="es"/>
        </w:rPr>
        <w:t>rara</w:t>
      </w:r>
      <w:r w:rsidR="00E57DFE">
        <w:rPr>
          <w:sz w:val="22"/>
          <w:szCs w:val="22"/>
          <w:lang w:val="es"/>
        </w:rPr>
        <w:t xml:space="preserve"> </w:t>
      </w:r>
      <w:r w:rsidRPr="73282652">
        <w:rPr>
          <w:sz w:val="22"/>
          <w:szCs w:val="22"/>
          <w:lang w:val="es"/>
        </w:rPr>
        <w:t>vez</w:t>
      </w:r>
      <w:r w:rsidR="00E57DFE">
        <w:rPr>
          <w:sz w:val="22"/>
          <w:szCs w:val="22"/>
          <w:lang w:val="es"/>
        </w:rPr>
        <w:t xml:space="preserve"> </w:t>
      </w:r>
      <w:r w:rsidRPr="73282652">
        <w:rPr>
          <w:sz w:val="22"/>
          <w:szCs w:val="22"/>
          <w:lang w:val="es"/>
        </w:rPr>
        <w:t>constituyen</w:t>
      </w:r>
      <w:r w:rsidR="00E57DFE">
        <w:rPr>
          <w:sz w:val="22"/>
          <w:szCs w:val="22"/>
          <w:lang w:val="es"/>
        </w:rPr>
        <w:t xml:space="preserve"> </w:t>
      </w:r>
      <w:r w:rsidRPr="73282652">
        <w:rPr>
          <w:sz w:val="22"/>
          <w:szCs w:val="22"/>
          <w:lang w:val="es"/>
        </w:rPr>
        <w:t>la</w:t>
      </w:r>
      <w:r w:rsidR="00E57DFE">
        <w:rPr>
          <w:sz w:val="22"/>
          <w:szCs w:val="22"/>
          <w:lang w:val="es"/>
        </w:rPr>
        <w:t xml:space="preserve"> </w:t>
      </w:r>
      <w:r w:rsidRPr="73282652">
        <w:rPr>
          <w:sz w:val="22"/>
          <w:szCs w:val="22"/>
          <w:lang w:val="es"/>
        </w:rPr>
        <w:t>causa</w:t>
      </w:r>
      <w:r w:rsidR="00E57DFE">
        <w:rPr>
          <w:sz w:val="22"/>
          <w:szCs w:val="22"/>
          <w:lang w:val="es"/>
        </w:rPr>
        <w:t xml:space="preserve"> </w:t>
      </w:r>
      <w:r w:rsidRPr="73282652">
        <w:rPr>
          <w:sz w:val="22"/>
          <w:szCs w:val="22"/>
          <w:lang w:val="es"/>
        </w:rPr>
        <w:t>estructural</w:t>
      </w:r>
      <w:r w:rsidR="00E57DFE">
        <w:rPr>
          <w:sz w:val="22"/>
          <w:szCs w:val="22"/>
          <w:lang w:val="es"/>
        </w:rPr>
        <w:t xml:space="preserve"> </w:t>
      </w:r>
      <w:r w:rsidRPr="73282652">
        <w:rPr>
          <w:sz w:val="22"/>
          <w:szCs w:val="22"/>
          <w:lang w:val="es"/>
        </w:rPr>
        <w:t>del</w:t>
      </w:r>
      <w:r w:rsidR="00E57DFE">
        <w:rPr>
          <w:sz w:val="22"/>
          <w:szCs w:val="22"/>
          <w:lang w:val="es"/>
        </w:rPr>
        <w:t xml:space="preserve"> </w:t>
      </w:r>
      <w:r w:rsidRPr="73282652">
        <w:rPr>
          <w:sz w:val="22"/>
          <w:szCs w:val="22"/>
          <w:lang w:val="es"/>
        </w:rPr>
        <w:t>desastre.</w:t>
      </w:r>
      <w:r w:rsidRPr="00121B73" w:rsidR="000F779F">
        <w:rPr>
          <w:sz w:val="22"/>
          <w:szCs w:val="22"/>
          <w:lang w:val="es"/>
        </w:rPr>
        <w:br/>
      </w:r>
      <w:r w:rsidRPr="00121B73" w:rsidR="000F779F">
        <w:rPr>
          <w:sz w:val="22"/>
          <w:szCs w:val="22"/>
          <w:lang w:val="es"/>
        </w:rPr>
        <w:br/>
      </w:r>
      <w:r w:rsidRPr="002F4CDC">
        <w:rPr>
          <w:i/>
          <w:iCs/>
          <w:sz w:val="22"/>
          <w:szCs w:val="22"/>
          <w:lang w:val="es"/>
        </w:rPr>
        <w:t>Condiciones</w:t>
      </w:r>
      <w:r w:rsidRPr="002F4CDC" w:rsidR="007C3E7C">
        <w:rPr>
          <w:i/>
          <w:iCs/>
          <w:sz w:val="22"/>
          <w:szCs w:val="22"/>
          <w:lang w:val="es"/>
        </w:rPr>
        <w:t xml:space="preserve"> </w:t>
      </w:r>
      <w:r w:rsidRPr="002F4CDC">
        <w:rPr>
          <w:i/>
          <w:iCs/>
          <w:sz w:val="22"/>
          <w:szCs w:val="22"/>
          <w:lang w:val="es"/>
        </w:rPr>
        <w:t>latentes</w:t>
      </w:r>
      <w:r w:rsidRPr="00121B73" w:rsidR="00282B40">
        <w:rPr>
          <w:sz w:val="22"/>
          <w:szCs w:val="22"/>
          <w:lang w:val="es"/>
        </w:rPr>
        <w:t>.</w:t>
      </w:r>
      <w:r w:rsidRPr="00121B73" w:rsidR="007C3E7C">
        <w:rPr>
          <w:sz w:val="22"/>
          <w:szCs w:val="22"/>
          <w:lang w:val="es"/>
        </w:rPr>
        <w:t xml:space="preserve"> </w:t>
      </w:r>
      <w:r w:rsidRPr="73282652">
        <w:rPr>
          <w:sz w:val="22"/>
          <w:szCs w:val="22"/>
          <w:lang w:val="es"/>
        </w:rPr>
        <w:t>El</w:t>
      </w:r>
      <w:r w:rsidR="007C3E7C">
        <w:rPr>
          <w:sz w:val="22"/>
          <w:szCs w:val="22"/>
          <w:lang w:val="es"/>
        </w:rPr>
        <w:t xml:space="preserve"> </w:t>
      </w:r>
      <w:r w:rsidRPr="73282652">
        <w:rPr>
          <w:sz w:val="22"/>
          <w:szCs w:val="22"/>
          <w:lang w:val="es"/>
        </w:rPr>
        <w:t>concepto</w:t>
      </w:r>
      <w:r w:rsidR="007C3E7C">
        <w:rPr>
          <w:sz w:val="22"/>
          <w:szCs w:val="22"/>
          <w:lang w:val="es"/>
        </w:rPr>
        <w:t xml:space="preserve"> </w:t>
      </w:r>
      <w:r w:rsidRPr="73282652">
        <w:rPr>
          <w:sz w:val="22"/>
          <w:szCs w:val="22"/>
          <w:lang w:val="es"/>
        </w:rPr>
        <w:t>de</w:t>
      </w:r>
      <w:r w:rsidR="007C3E7C">
        <w:rPr>
          <w:sz w:val="22"/>
          <w:szCs w:val="22"/>
          <w:lang w:val="es"/>
        </w:rPr>
        <w:t xml:space="preserve"> </w:t>
      </w:r>
      <w:r w:rsidRPr="73282652">
        <w:rPr>
          <w:sz w:val="22"/>
          <w:szCs w:val="22"/>
          <w:lang w:val="es"/>
        </w:rPr>
        <w:t>condiciones</w:t>
      </w:r>
      <w:r w:rsidR="007C3E7C">
        <w:rPr>
          <w:sz w:val="22"/>
          <w:szCs w:val="22"/>
          <w:lang w:val="es"/>
        </w:rPr>
        <w:t xml:space="preserve"> </w:t>
      </w:r>
      <w:r w:rsidRPr="73282652">
        <w:rPr>
          <w:sz w:val="22"/>
          <w:szCs w:val="22"/>
          <w:lang w:val="es"/>
        </w:rPr>
        <w:t>latentes</w:t>
      </w:r>
      <w:r w:rsidR="007C3E7C">
        <w:rPr>
          <w:sz w:val="22"/>
          <w:szCs w:val="22"/>
          <w:lang w:val="es"/>
        </w:rPr>
        <w:t xml:space="preserve"> </w:t>
      </w:r>
      <w:r w:rsidRPr="73282652">
        <w:rPr>
          <w:sz w:val="22"/>
          <w:szCs w:val="22"/>
          <w:lang w:val="es"/>
        </w:rPr>
        <w:t>representa</w:t>
      </w:r>
      <w:r w:rsidR="007C3E7C">
        <w:rPr>
          <w:sz w:val="22"/>
          <w:szCs w:val="22"/>
          <w:lang w:val="es"/>
        </w:rPr>
        <w:t xml:space="preserve"> </w:t>
      </w:r>
      <w:r w:rsidRPr="73282652">
        <w:rPr>
          <w:sz w:val="22"/>
          <w:szCs w:val="22"/>
          <w:lang w:val="es"/>
        </w:rPr>
        <w:t>el</w:t>
      </w:r>
      <w:r w:rsidR="007C3E7C">
        <w:rPr>
          <w:sz w:val="22"/>
          <w:szCs w:val="22"/>
          <w:lang w:val="es"/>
        </w:rPr>
        <w:t xml:space="preserve"> </w:t>
      </w:r>
      <w:r w:rsidRPr="73282652">
        <w:rPr>
          <w:sz w:val="22"/>
          <w:szCs w:val="22"/>
          <w:lang w:val="es"/>
        </w:rPr>
        <w:t>núcleo</w:t>
      </w:r>
      <w:r w:rsidR="007C3E7C">
        <w:rPr>
          <w:sz w:val="22"/>
          <w:szCs w:val="22"/>
          <w:lang w:val="es"/>
        </w:rPr>
        <w:t xml:space="preserve"> </w:t>
      </w:r>
      <w:r w:rsidRPr="73282652">
        <w:rPr>
          <w:sz w:val="22"/>
          <w:szCs w:val="22"/>
          <w:lang w:val="es"/>
        </w:rPr>
        <w:t>conceptual</w:t>
      </w:r>
      <w:r w:rsidR="007C3E7C">
        <w:rPr>
          <w:sz w:val="22"/>
          <w:szCs w:val="22"/>
          <w:lang w:val="es"/>
        </w:rPr>
        <w:t xml:space="preserve"> </w:t>
      </w:r>
      <w:r w:rsidRPr="73282652">
        <w:rPr>
          <w:sz w:val="22"/>
          <w:szCs w:val="22"/>
          <w:lang w:val="es"/>
        </w:rPr>
        <w:t>del</w:t>
      </w:r>
      <w:r w:rsidR="007C3E7C">
        <w:rPr>
          <w:sz w:val="22"/>
          <w:szCs w:val="22"/>
          <w:lang w:val="es"/>
        </w:rPr>
        <w:t xml:space="preserve"> </w:t>
      </w:r>
      <w:r w:rsidRPr="73282652">
        <w:rPr>
          <w:sz w:val="22"/>
          <w:szCs w:val="22"/>
          <w:lang w:val="es"/>
        </w:rPr>
        <w:t>modelo.</w:t>
      </w:r>
      <w:r w:rsidR="007C3E7C">
        <w:rPr>
          <w:sz w:val="22"/>
          <w:szCs w:val="22"/>
          <w:lang w:val="es"/>
        </w:rPr>
        <w:t xml:space="preserve"> </w:t>
      </w:r>
      <w:r w:rsidRPr="73282652">
        <w:rPr>
          <w:sz w:val="22"/>
          <w:szCs w:val="22"/>
          <w:lang w:val="es"/>
        </w:rPr>
        <w:t>Reason</w:t>
      </w:r>
      <w:r w:rsidR="007C3E7C">
        <w:rPr>
          <w:sz w:val="22"/>
          <w:szCs w:val="22"/>
          <w:lang w:val="es"/>
        </w:rPr>
        <w:t xml:space="preserve"> </w:t>
      </w:r>
      <w:r w:rsidRPr="73282652">
        <w:rPr>
          <w:sz w:val="22"/>
          <w:szCs w:val="22"/>
          <w:lang w:val="es"/>
        </w:rPr>
        <w:t>(1997)</w:t>
      </w:r>
      <w:r w:rsidR="007C3E7C">
        <w:rPr>
          <w:sz w:val="22"/>
          <w:szCs w:val="22"/>
          <w:lang w:val="es"/>
        </w:rPr>
        <w:t xml:space="preserve"> </w:t>
      </w:r>
      <w:r w:rsidRPr="73282652">
        <w:rPr>
          <w:sz w:val="22"/>
          <w:szCs w:val="22"/>
          <w:lang w:val="es"/>
        </w:rPr>
        <w:t>las</w:t>
      </w:r>
      <w:r w:rsidR="007C3E7C">
        <w:rPr>
          <w:sz w:val="22"/>
          <w:szCs w:val="22"/>
          <w:lang w:val="es"/>
        </w:rPr>
        <w:t xml:space="preserve"> </w:t>
      </w:r>
      <w:r w:rsidRPr="73282652">
        <w:rPr>
          <w:sz w:val="22"/>
          <w:szCs w:val="22"/>
          <w:lang w:val="es"/>
        </w:rPr>
        <w:t>describe</w:t>
      </w:r>
      <w:r w:rsidR="007C3E7C">
        <w:rPr>
          <w:sz w:val="22"/>
          <w:szCs w:val="22"/>
          <w:lang w:val="es"/>
        </w:rPr>
        <w:t xml:space="preserve"> </w:t>
      </w:r>
      <w:r w:rsidRPr="73282652">
        <w:rPr>
          <w:sz w:val="22"/>
          <w:szCs w:val="22"/>
          <w:lang w:val="es"/>
        </w:rPr>
        <w:t>como</w:t>
      </w:r>
      <w:r w:rsidR="007C3E7C">
        <w:rPr>
          <w:sz w:val="22"/>
          <w:szCs w:val="22"/>
          <w:lang w:val="es"/>
        </w:rPr>
        <w:t xml:space="preserve"> </w:t>
      </w:r>
      <w:r w:rsidRPr="00121B73">
        <w:rPr>
          <w:sz w:val="22"/>
          <w:szCs w:val="22"/>
          <w:lang w:val="es"/>
        </w:rPr>
        <w:t>“</w:t>
      </w:r>
      <w:r w:rsidRPr="00121B73" w:rsidR="00975AA8">
        <w:rPr>
          <w:sz w:val="22"/>
          <w:szCs w:val="22"/>
          <w:lang w:val="es"/>
        </w:rPr>
        <w:t>Los inevitables “patógenos residentes” dentro del sistema”</w:t>
      </w:r>
      <w:r w:rsidRPr="73282652">
        <w:rPr>
          <w:sz w:val="22"/>
          <w:szCs w:val="22"/>
          <w:lang w:val="es"/>
        </w:rPr>
        <w:t>.</w:t>
      </w:r>
      <w:r w:rsidR="007C3E7C">
        <w:rPr>
          <w:sz w:val="22"/>
          <w:szCs w:val="22"/>
          <w:lang w:val="es"/>
        </w:rPr>
        <w:t xml:space="preserve"> </w:t>
      </w:r>
      <w:r w:rsidRPr="73282652">
        <w:rPr>
          <w:sz w:val="22"/>
          <w:szCs w:val="22"/>
          <w:lang w:val="es"/>
        </w:rPr>
        <w:t>Estas</w:t>
      </w:r>
      <w:r w:rsidR="007C3E7C">
        <w:rPr>
          <w:sz w:val="22"/>
          <w:szCs w:val="22"/>
          <w:lang w:val="es"/>
        </w:rPr>
        <w:t xml:space="preserve"> </w:t>
      </w:r>
      <w:r w:rsidRPr="73282652">
        <w:rPr>
          <w:sz w:val="22"/>
          <w:szCs w:val="22"/>
          <w:lang w:val="es"/>
        </w:rPr>
        <w:t>se</w:t>
      </w:r>
      <w:r w:rsidR="007C3E7C">
        <w:rPr>
          <w:sz w:val="22"/>
          <w:szCs w:val="22"/>
          <w:lang w:val="es"/>
        </w:rPr>
        <w:t xml:space="preserve"> </w:t>
      </w:r>
      <w:r w:rsidRPr="73282652">
        <w:rPr>
          <w:sz w:val="22"/>
          <w:szCs w:val="22"/>
          <w:lang w:val="es"/>
        </w:rPr>
        <w:t>originan</w:t>
      </w:r>
      <w:r w:rsidR="007C3E7C">
        <w:rPr>
          <w:sz w:val="22"/>
          <w:szCs w:val="22"/>
          <w:lang w:val="es"/>
        </w:rPr>
        <w:t xml:space="preserve"> </w:t>
      </w:r>
      <w:r w:rsidRPr="73282652">
        <w:rPr>
          <w:sz w:val="22"/>
          <w:szCs w:val="22"/>
          <w:lang w:val="es"/>
        </w:rPr>
        <w:t>en</w:t>
      </w:r>
      <w:r w:rsidR="007C3E7C">
        <w:rPr>
          <w:sz w:val="22"/>
          <w:szCs w:val="22"/>
          <w:lang w:val="es"/>
        </w:rPr>
        <w:t xml:space="preserve"> </w:t>
      </w:r>
      <w:r w:rsidRPr="73282652">
        <w:rPr>
          <w:sz w:val="22"/>
          <w:szCs w:val="22"/>
          <w:lang w:val="es"/>
        </w:rPr>
        <w:t>decisiones</w:t>
      </w:r>
      <w:r w:rsidR="007C3E7C">
        <w:rPr>
          <w:sz w:val="22"/>
          <w:szCs w:val="22"/>
          <w:lang w:val="es"/>
        </w:rPr>
        <w:t xml:space="preserve"> </w:t>
      </w:r>
      <w:r w:rsidRPr="73282652">
        <w:rPr>
          <w:sz w:val="22"/>
          <w:szCs w:val="22"/>
          <w:lang w:val="es"/>
        </w:rPr>
        <w:t>estratégicas,</w:t>
      </w:r>
      <w:r w:rsidR="007C3E7C">
        <w:rPr>
          <w:sz w:val="22"/>
          <w:szCs w:val="22"/>
          <w:lang w:val="es"/>
        </w:rPr>
        <w:t xml:space="preserve"> </w:t>
      </w:r>
      <w:r w:rsidRPr="73282652">
        <w:rPr>
          <w:sz w:val="22"/>
          <w:szCs w:val="22"/>
          <w:lang w:val="es"/>
        </w:rPr>
        <w:t>estructuras</w:t>
      </w:r>
      <w:r w:rsidR="007C3E7C">
        <w:rPr>
          <w:sz w:val="22"/>
          <w:szCs w:val="22"/>
          <w:lang w:val="es"/>
        </w:rPr>
        <w:t xml:space="preserve"> </w:t>
      </w:r>
      <w:r w:rsidRPr="73282652">
        <w:rPr>
          <w:sz w:val="22"/>
          <w:szCs w:val="22"/>
          <w:lang w:val="es"/>
        </w:rPr>
        <w:t>organizacionales,</w:t>
      </w:r>
      <w:r w:rsidR="007C3E7C">
        <w:rPr>
          <w:sz w:val="22"/>
          <w:szCs w:val="22"/>
          <w:lang w:val="es"/>
        </w:rPr>
        <w:t xml:space="preserve"> </w:t>
      </w:r>
      <w:r w:rsidR="00A17245">
        <w:rPr>
          <w:sz w:val="22"/>
          <w:szCs w:val="22"/>
          <w:lang w:val="es"/>
        </w:rPr>
        <w:t>limitaciones de recursos, cultura institucional y</w:t>
      </w:r>
      <w:r w:rsidR="003725FD">
        <w:rPr>
          <w:sz w:val="22"/>
          <w:szCs w:val="22"/>
          <w:lang w:val="es"/>
        </w:rPr>
        <w:t xml:space="preserve"> políticas administrativas.</w:t>
      </w:r>
    </w:p>
    <w:p w:rsidRPr="003725FD" w:rsidR="00D97946" w:rsidP="00C43EC5" w:rsidRDefault="000F779F" w14:paraId="6C2742F3" w14:textId="6C05F02C">
      <w:pPr>
        <w:spacing w:after="0"/>
        <w:jc w:val="both"/>
        <w:rPr>
          <w:sz w:val="22"/>
          <w:szCs w:val="22"/>
          <w:lang w:val="es"/>
        </w:rPr>
      </w:pPr>
      <w:r>
        <w:br/>
      </w:r>
      <w:r w:rsidRPr="001320AA" w:rsidR="334E4D01">
        <w:rPr>
          <w:i/>
          <w:iCs/>
          <w:sz w:val="22"/>
          <w:szCs w:val="22"/>
          <w:lang w:val="es"/>
        </w:rPr>
        <w:t>Defensas</w:t>
      </w:r>
      <w:r w:rsidRPr="001320AA" w:rsidR="00E57DFE">
        <w:rPr>
          <w:i/>
          <w:iCs/>
          <w:sz w:val="22"/>
          <w:szCs w:val="22"/>
          <w:lang w:val="es"/>
        </w:rPr>
        <w:t xml:space="preserve"> </w:t>
      </w:r>
      <w:r w:rsidRPr="001320AA" w:rsidR="334E4D01">
        <w:rPr>
          <w:i/>
          <w:iCs/>
          <w:sz w:val="22"/>
          <w:szCs w:val="22"/>
          <w:lang w:val="es"/>
        </w:rPr>
        <w:t>en</w:t>
      </w:r>
      <w:r w:rsidRPr="001320AA" w:rsidR="00E57DFE">
        <w:rPr>
          <w:i/>
          <w:iCs/>
          <w:sz w:val="22"/>
          <w:szCs w:val="22"/>
          <w:lang w:val="es"/>
        </w:rPr>
        <w:t xml:space="preserve"> </w:t>
      </w:r>
      <w:r w:rsidRPr="001320AA" w:rsidR="334E4D01">
        <w:rPr>
          <w:i/>
          <w:iCs/>
          <w:sz w:val="22"/>
          <w:szCs w:val="22"/>
          <w:lang w:val="es"/>
        </w:rPr>
        <w:t>profundidad</w:t>
      </w:r>
      <w:r w:rsidR="001320AA">
        <w:t xml:space="preserve">. </w:t>
      </w:r>
      <w:r w:rsidRPr="73282652" w:rsidR="334E4D01">
        <w:rPr>
          <w:sz w:val="22"/>
          <w:szCs w:val="22"/>
          <w:lang w:val="es"/>
        </w:rPr>
        <w:t>El</w:t>
      </w:r>
      <w:r w:rsidR="00E57DFE">
        <w:rPr>
          <w:sz w:val="22"/>
          <w:szCs w:val="22"/>
          <w:lang w:val="es"/>
        </w:rPr>
        <w:t xml:space="preserve"> </w:t>
      </w:r>
      <w:r w:rsidRPr="73282652" w:rsidR="334E4D01">
        <w:rPr>
          <w:sz w:val="22"/>
          <w:szCs w:val="22"/>
          <w:lang w:val="es"/>
        </w:rPr>
        <w:t>modelo</w:t>
      </w:r>
      <w:r w:rsidR="00E57DFE">
        <w:rPr>
          <w:sz w:val="22"/>
          <w:szCs w:val="22"/>
          <w:lang w:val="es"/>
        </w:rPr>
        <w:t xml:space="preserve"> </w:t>
      </w:r>
      <w:r w:rsidRPr="73282652" w:rsidR="334E4D01">
        <w:rPr>
          <w:sz w:val="22"/>
          <w:szCs w:val="22"/>
          <w:lang w:val="es"/>
        </w:rPr>
        <w:t>conceptualiza</w:t>
      </w:r>
      <w:r w:rsidR="00E57DFE">
        <w:rPr>
          <w:sz w:val="22"/>
          <w:szCs w:val="22"/>
          <w:lang w:val="es"/>
        </w:rPr>
        <w:t xml:space="preserve"> </w:t>
      </w:r>
      <w:r w:rsidRPr="73282652" w:rsidR="334E4D01">
        <w:rPr>
          <w:sz w:val="22"/>
          <w:szCs w:val="22"/>
          <w:lang w:val="es"/>
        </w:rPr>
        <w:t>múltiples</w:t>
      </w:r>
      <w:r w:rsidR="00E57DFE">
        <w:rPr>
          <w:sz w:val="22"/>
          <w:szCs w:val="22"/>
          <w:lang w:val="es"/>
        </w:rPr>
        <w:t xml:space="preserve"> </w:t>
      </w:r>
      <w:r w:rsidRPr="73282652" w:rsidR="334E4D01">
        <w:rPr>
          <w:sz w:val="22"/>
          <w:szCs w:val="22"/>
          <w:lang w:val="es"/>
        </w:rPr>
        <w:t>capas</w:t>
      </w:r>
      <w:r w:rsidR="00E57DFE">
        <w:rPr>
          <w:sz w:val="22"/>
          <w:szCs w:val="22"/>
          <w:lang w:val="es"/>
        </w:rPr>
        <w:t xml:space="preserve"> </w:t>
      </w:r>
      <w:r w:rsidRPr="73282652" w:rsidR="334E4D01">
        <w:rPr>
          <w:sz w:val="22"/>
          <w:szCs w:val="22"/>
          <w:lang w:val="es"/>
        </w:rPr>
        <w:t>defensivas:</w:t>
      </w:r>
      <w:r w:rsidR="00E57DFE">
        <w:rPr>
          <w:sz w:val="22"/>
          <w:szCs w:val="22"/>
          <w:lang w:val="es"/>
        </w:rPr>
        <w:t xml:space="preserve"> </w:t>
      </w:r>
      <w:r w:rsidRPr="73282652" w:rsidR="334E4D01">
        <w:rPr>
          <w:sz w:val="22"/>
          <w:szCs w:val="22"/>
          <w:lang w:val="es"/>
        </w:rPr>
        <w:t>tecnológicas,</w:t>
      </w:r>
      <w:r w:rsidR="00E57DFE">
        <w:rPr>
          <w:sz w:val="22"/>
          <w:szCs w:val="22"/>
          <w:lang w:val="es"/>
        </w:rPr>
        <w:t xml:space="preserve"> </w:t>
      </w:r>
      <w:r w:rsidRPr="73282652" w:rsidR="334E4D01">
        <w:rPr>
          <w:sz w:val="22"/>
          <w:szCs w:val="22"/>
          <w:lang w:val="es"/>
        </w:rPr>
        <w:t>administrativas,</w:t>
      </w:r>
      <w:r w:rsidR="00E57DFE">
        <w:rPr>
          <w:sz w:val="22"/>
          <w:szCs w:val="22"/>
          <w:lang w:val="es"/>
        </w:rPr>
        <w:t xml:space="preserve"> </w:t>
      </w:r>
      <w:r w:rsidRPr="73282652" w:rsidR="334E4D01">
        <w:rPr>
          <w:sz w:val="22"/>
          <w:szCs w:val="22"/>
          <w:lang w:val="es"/>
        </w:rPr>
        <w:t>humanas</w:t>
      </w:r>
      <w:r w:rsidR="00E57DFE">
        <w:rPr>
          <w:sz w:val="22"/>
          <w:szCs w:val="22"/>
          <w:lang w:val="es"/>
        </w:rPr>
        <w:t xml:space="preserve"> </w:t>
      </w:r>
      <w:r w:rsidRPr="73282652" w:rsidR="334E4D01">
        <w:rPr>
          <w:sz w:val="22"/>
          <w:szCs w:val="22"/>
          <w:lang w:val="es"/>
        </w:rPr>
        <w:t>y</w:t>
      </w:r>
      <w:r w:rsidR="00E57DFE">
        <w:rPr>
          <w:sz w:val="22"/>
          <w:szCs w:val="22"/>
          <w:lang w:val="es"/>
        </w:rPr>
        <w:t xml:space="preserve"> </w:t>
      </w:r>
      <w:r w:rsidRPr="73282652" w:rsidR="334E4D01">
        <w:rPr>
          <w:sz w:val="22"/>
          <w:szCs w:val="22"/>
          <w:lang w:val="es"/>
        </w:rPr>
        <w:t>culturales.</w:t>
      </w:r>
      <w:r w:rsidR="00E57DFE">
        <w:rPr>
          <w:sz w:val="22"/>
          <w:szCs w:val="22"/>
          <w:lang w:val="es"/>
        </w:rPr>
        <w:t xml:space="preserve"> </w:t>
      </w:r>
      <w:r w:rsidRPr="73282652" w:rsidR="334E4D01">
        <w:rPr>
          <w:sz w:val="22"/>
          <w:szCs w:val="22"/>
          <w:lang w:val="es"/>
        </w:rPr>
        <w:t>Cada</w:t>
      </w:r>
      <w:r w:rsidR="00E57DFE">
        <w:rPr>
          <w:sz w:val="22"/>
          <w:szCs w:val="22"/>
          <w:lang w:val="es"/>
        </w:rPr>
        <w:t xml:space="preserve"> </w:t>
      </w:r>
      <w:r w:rsidRPr="73282652" w:rsidR="334E4D01">
        <w:rPr>
          <w:sz w:val="22"/>
          <w:szCs w:val="22"/>
          <w:lang w:val="es"/>
        </w:rPr>
        <w:t>capa</w:t>
      </w:r>
      <w:r w:rsidR="00E57DFE">
        <w:rPr>
          <w:sz w:val="22"/>
          <w:szCs w:val="22"/>
          <w:lang w:val="es"/>
        </w:rPr>
        <w:t xml:space="preserve"> </w:t>
      </w:r>
      <w:r w:rsidRPr="73282652" w:rsidR="334E4D01">
        <w:rPr>
          <w:sz w:val="22"/>
          <w:szCs w:val="22"/>
          <w:lang w:val="es"/>
        </w:rPr>
        <w:t>contiene</w:t>
      </w:r>
      <w:r w:rsidR="00E57DFE">
        <w:rPr>
          <w:sz w:val="22"/>
          <w:szCs w:val="22"/>
          <w:lang w:val="es"/>
        </w:rPr>
        <w:t xml:space="preserve"> </w:t>
      </w:r>
      <w:r w:rsidRPr="73282652" w:rsidR="334E4D01">
        <w:rPr>
          <w:sz w:val="22"/>
          <w:szCs w:val="22"/>
          <w:lang w:val="es"/>
        </w:rPr>
        <w:t>vulnerabilidades</w:t>
      </w:r>
      <w:r w:rsidR="00E57DFE">
        <w:rPr>
          <w:sz w:val="22"/>
          <w:szCs w:val="22"/>
          <w:lang w:val="es"/>
        </w:rPr>
        <w:t xml:space="preserve"> </w:t>
      </w:r>
      <w:r w:rsidRPr="73282652" w:rsidR="334E4D01">
        <w:rPr>
          <w:sz w:val="22"/>
          <w:szCs w:val="22"/>
          <w:lang w:val="es"/>
        </w:rPr>
        <w:t>estructurales.</w:t>
      </w:r>
      <w:r w:rsidR="00E57DFE">
        <w:rPr>
          <w:sz w:val="22"/>
          <w:szCs w:val="22"/>
          <w:lang w:val="es"/>
        </w:rPr>
        <w:t xml:space="preserve"> </w:t>
      </w:r>
      <w:r w:rsidRPr="73282652" w:rsidR="334E4D01">
        <w:rPr>
          <w:sz w:val="22"/>
          <w:szCs w:val="22"/>
          <w:lang w:val="es"/>
        </w:rPr>
        <w:t>Reason</w:t>
      </w:r>
      <w:r w:rsidR="00E57DFE">
        <w:rPr>
          <w:sz w:val="22"/>
          <w:szCs w:val="22"/>
          <w:lang w:val="es"/>
        </w:rPr>
        <w:t xml:space="preserve"> </w:t>
      </w:r>
      <w:r w:rsidRPr="73282652" w:rsidR="334E4D01">
        <w:rPr>
          <w:sz w:val="22"/>
          <w:szCs w:val="22"/>
          <w:lang w:val="es"/>
        </w:rPr>
        <w:t>(2000)</w:t>
      </w:r>
      <w:r w:rsidR="00E57DFE">
        <w:rPr>
          <w:sz w:val="22"/>
          <w:szCs w:val="22"/>
          <w:lang w:val="es"/>
        </w:rPr>
        <w:t xml:space="preserve"> </w:t>
      </w:r>
      <w:r w:rsidRPr="73282652" w:rsidR="334E4D01">
        <w:rPr>
          <w:sz w:val="22"/>
          <w:szCs w:val="22"/>
          <w:lang w:val="es"/>
        </w:rPr>
        <w:t>sostiene</w:t>
      </w:r>
      <w:r w:rsidR="00E57DFE">
        <w:rPr>
          <w:sz w:val="22"/>
          <w:szCs w:val="22"/>
          <w:lang w:val="es"/>
        </w:rPr>
        <w:t xml:space="preserve"> </w:t>
      </w:r>
      <w:r w:rsidRPr="73282652" w:rsidR="334E4D01">
        <w:rPr>
          <w:sz w:val="22"/>
          <w:szCs w:val="22"/>
          <w:lang w:val="es"/>
        </w:rPr>
        <w:t>que</w:t>
      </w:r>
      <w:r w:rsidR="00E57DFE">
        <w:rPr>
          <w:sz w:val="22"/>
          <w:szCs w:val="22"/>
          <w:lang w:val="es"/>
        </w:rPr>
        <w:t xml:space="preserve"> </w:t>
      </w:r>
      <w:r w:rsidRPr="73282652" w:rsidR="334E4D01">
        <w:rPr>
          <w:sz w:val="22"/>
          <w:szCs w:val="22"/>
          <w:lang w:val="es"/>
        </w:rPr>
        <w:t>“</w:t>
      </w:r>
      <w:r w:rsidRPr="00D97946" w:rsidR="00D97946">
        <w:rPr>
          <w:sz w:val="22"/>
          <w:szCs w:val="22"/>
          <w:lang w:val="es-ES"/>
        </w:rPr>
        <w:t>En sistemas complejos, las defensas, barreras y salvaguardas ocupan un lugar clave. Cuando fallan, se abre la posibilidad de accidentes</w:t>
      </w:r>
      <w:r w:rsidR="00D97946">
        <w:rPr>
          <w:sz w:val="22"/>
          <w:szCs w:val="22"/>
          <w:lang w:val="es-ES"/>
        </w:rPr>
        <w:t>”.</w:t>
      </w:r>
    </w:p>
    <w:p w:rsidR="003725FD" w:rsidP="00C43EC5" w:rsidRDefault="000F779F" w14:paraId="4C11FD8D" w14:textId="27072951">
      <w:pPr>
        <w:jc w:val="both"/>
        <w:rPr>
          <w:sz w:val="22"/>
          <w:szCs w:val="22"/>
          <w:lang w:val="es"/>
        </w:rPr>
      </w:pPr>
      <w:r>
        <w:br/>
      </w:r>
      <w:r w:rsidRPr="00D97946" w:rsidR="334E4D01">
        <w:rPr>
          <w:i/>
          <w:iCs/>
          <w:sz w:val="22"/>
          <w:szCs w:val="22"/>
          <w:lang w:val="es"/>
        </w:rPr>
        <w:t>Trayectoria</w:t>
      </w:r>
      <w:r w:rsidRPr="00D97946" w:rsidR="00E57DFE">
        <w:rPr>
          <w:i/>
          <w:iCs/>
          <w:sz w:val="22"/>
          <w:szCs w:val="22"/>
          <w:lang w:val="es"/>
        </w:rPr>
        <w:t xml:space="preserve"> </w:t>
      </w:r>
      <w:r w:rsidRPr="00D97946" w:rsidR="334E4D01">
        <w:rPr>
          <w:i/>
          <w:iCs/>
          <w:sz w:val="22"/>
          <w:szCs w:val="22"/>
          <w:lang w:val="es"/>
        </w:rPr>
        <w:t>de</w:t>
      </w:r>
      <w:r w:rsidRPr="00D97946" w:rsidR="00E57DFE">
        <w:rPr>
          <w:i/>
          <w:iCs/>
          <w:sz w:val="22"/>
          <w:szCs w:val="22"/>
          <w:lang w:val="es"/>
        </w:rPr>
        <w:t xml:space="preserve"> </w:t>
      </w:r>
      <w:r w:rsidRPr="00D97946" w:rsidR="334E4D01">
        <w:rPr>
          <w:i/>
          <w:iCs/>
          <w:sz w:val="22"/>
          <w:szCs w:val="22"/>
          <w:lang w:val="es"/>
        </w:rPr>
        <w:t>oportunidad</w:t>
      </w:r>
      <w:r w:rsidRPr="00D97946" w:rsidR="00E57DFE">
        <w:rPr>
          <w:i/>
          <w:iCs/>
          <w:sz w:val="22"/>
          <w:szCs w:val="22"/>
          <w:lang w:val="es"/>
        </w:rPr>
        <w:t xml:space="preserve"> </w:t>
      </w:r>
      <w:r w:rsidRPr="00D97946" w:rsidR="334E4D01">
        <w:rPr>
          <w:i/>
          <w:iCs/>
          <w:sz w:val="22"/>
          <w:szCs w:val="22"/>
          <w:lang w:val="es"/>
        </w:rPr>
        <w:t>del</w:t>
      </w:r>
      <w:r w:rsidRPr="00D97946" w:rsidR="00E57DFE">
        <w:rPr>
          <w:i/>
          <w:iCs/>
          <w:sz w:val="22"/>
          <w:szCs w:val="22"/>
          <w:lang w:val="es"/>
        </w:rPr>
        <w:t xml:space="preserve"> </w:t>
      </w:r>
      <w:r w:rsidRPr="00D97946" w:rsidR="334E4D01">
        <w:rPr>
          <w:i/>
          <w:iCs/>
          <w:sz w:val="22"/>
          <w:szCs w:val="22"/>
          <w:lang w:val="es"/>
        </w:rPr>
        <w:t>accidente</w:t>
      </w:r>
      <w:r w:rsidRPr="00D97946" w:rsidR="001320AA">
        <w:rPr>
          <w:i/>
          <w:iCs/>
          <w:sz w:val="22"/>
          <w:szCs w:val="22"/>
          <w:lang w:val="es"/>
        </w:rPr>
        <w:t>.</w:t>
      </w:r>
      <w:r w:rsidRPr="00D97946" w:rsidR="001320AA">
        <w:rPr>
          <w:sz w:val="22"/>
          <w:szCs w:val="22"/>
          <w:lang w:val="es"/>
        </w:rPr>
        <w:t xml:space="preserve"> </w:t>
      </w:r>
      <w:r w:rsidRPr="00D97946" w:rsidR="334E4D01">
        <w:rPr>
          <w:sz w:val="22"/>
          <w:szCs w:val="22"/>
          <w:lang w:val="es"/>
        </w:rPr>
        <w:t>El</w:t>
      </w:r>
      <w:r w:rsidRPr="00D97946" w:rsidR="00E57DFE">
        <w:rPr>
          <w:sz w:val="22"/>
          <w:szCs w:val="22"/>
          <w:lang w:val="es"/>
        </w:rPr>
        <w:t xml:space="preserve"> </w:t>
      </w:r>
      <w:r w:rsidRPr="00D97946" w:rsidR="334E4D01">
        <w:rPr>
          <w:sz w:val="22"/>
          <w:szCs w:val="22"/>
          <w:lang w:val="es"/>
        </w:rPr>
        <w:t>accidente</w:t>
      </w:r>
      <w:r w:rsidRPr="00D97946" w:rsidR="00E57DFE">
        <w:rPr>
          <w:sz w:val="22"/>
          <w:szCs w:val="22"/>
          <w:lang w:val="es"/>
        </w:rPr>
        <w:t xml:space="preserve"> </w:t>
      </w:r>
      <w:r w:rsidRPr="00D97946" w:rsidR="334E4D01">
        <w:rPr>
          <w:sz w:val="22"/>
          <w:szCs w:val="22"/>
          <w:lang w:val="es"/>
        </w:rPr>
        <w:t>ocurre</w:t>
      </w:r>
      <w:r w:rsidRPr="00D97946" w:rsidR="00E57DFE">
        <w:rPr>
          <w:sz w:val="22"/>
          <w:szCs w:val="22"/>
          <w:lang w:val="es"/>
        </w:rPr>
        <w:t xml:space="preserve"> </w:t>
      </w:r>
      <w:r w:rsidRPr="00D97946" w:rsidR="334E4D01">
        <w:rPr>
          <w:sz w:val="22"/>
          <w:szCs w:val="22"/>
          <w:lang w:val="es"/>
        </w:rPr>
        <w:t>cuando</w:t>
      </w:r>
      <w:r w:rsidRPr="00D97946" w:rsidR="00E57DFE">
        <w:rPr>
          <w:sz w:val="22"/>
          <w:szCs w:val="22"/>
          <w:lang w:val="es"/>
        </w:rPr>
        <w:t xml:space="preserve"> </w:t>
      </w:r>
      <w:r w:rsidRPr="00D97946" w:rsidR="334E4D01">
        <w:rPr>
          <w:sz w:val="22"/>
          <w:szCs w:val="22"/>
          <w:lang w:val="es"/>
        </w:rPr>
        <w:t>las</w:t>
      </w:r>
      <w:r w:rsidRPr="00D97946" w:rsidR="00E57DFE">
        <w:rPr>
          <w:sz w:val="22"/>
          <w:szCs w:val="22"/>
          <w:lang w:val="es"/>
        </w:rPr>
        <w:t xml:space="preserve"> </w:t>
      </w:r>
      <w:r w:rsidRPr="00D97946" w:rsidR="334E4D01">
        <w:rPr>
          <w:sz w:val="22"/>
          <w:szCs w:val="22"/>
          <w:lang w:val="es"/>
        </w:rPr>
        <w:t>vulnerabilidades</w:t>
      </w:r>
      <w:r w:rsidRPr="00D97946" w:rsidR="00E57DFE">
        <w:rPr>
          <w:sz w:val="22"/>
          <w:szCs w:val="22"/>
          <w:lang w:val="es"/>
        </w:rPr>
        <w:t xml:space="preserve"> </w:t>
      </w:r>
      <w:r w:rsidRPr="00D97946" w:rsidR="334E4D01">
        <w:rPr>
          <w:sz w:val="22"/>
          <w:szCs w:val="22"/>
          <w:lang w:val="es"/>
        </w:rPr>
        <w:t>de</w:t>
      </w:r>
      <w:r w:rsidRPr="00D97946" w:rsidR="00E57DFE">
        <w:rPr>
          <w:sz w:val="22"/>
          <w:szCs w:val="22"/>
          <w:lang w:val="es"/>
        </w:rPr>
        <w:t xml:space="preserve"> </w:t>
      </w:r>
      <w:r w:rsidRPr="00D97946" w:rsidR="334E4D01">
        <w:rPr>
          <w:sz w:val="22"/>
          <w:szCs w:val="22"/>
          <w:lang w:val="es"/>
        </w:rPr>
        <w:t>distintas</w:t>
      </w:r>
      <w:r w:rsidRPr="00D97946" w:rsidR="00E57DFE">
        <w:rPr>
          <w:sz w:val="22"/>
          <w:szCs w:val="22"/>
          <w:lang w:val="es"/>
        </w:rPr>
        <w:t xml:space="preserve"> </w:t>
      </w:r>
      <w:r w:rsidRPr="00D97946" w:rsidR="334E4D01">
        <w:rPr>
          <w:sz w:val="22"/>
          <w:szCs w:val="22"/>
          <w:lang w:val="es"/>
        </w:rPr>
        <w:t>capas</w:t>
      </w:r>
      <w:r w:rsidRPr="00D97946" w:rsidR="00E57DFE">
        <w:rPr>
          <w:sz w:val="22"/>
          <w:szCs w:val="22"/>
          <w:lang w:val="es"/>
        </w:rPr>
        <w:t xml:space="preserve"> </w:t>
      </w:r>
      <w:r w:rsidRPr="00D97946" w:rsidR="334E4D01">
        <w:rPr>
          <w:sz w:val="22"/>
          <w:szCs w:val="22"/>
          <w:lang w:val="es"/>
        </w:rPr>
        <w:t>se</w:t>
      </w:r>
      <w:r w:rsidRPr="00D97946" w:rsidR="00E57DFE">
        <w:rPr>
          <w:sz w:val="22"/>
          <w:szCs w:val="22"/>
          <w:lang w:val="es"/>
        </w:rPr>
        <w:t xml:space="preserve"> </w:t>
      </w:r>
      <w:r w:rsidRPr="00D97946" w:rsidR="334E4D01">
        <w:rPr>
          <w:sz w:val="22"/>
          <w:szCs w:val="22"/>
          <w:lang w:val="es"/>
        </w:rPr>
        <w:t>alinean,</w:t>
      </w:r>
      <w:r w:rsidRPr="00D97946" w:rsidR="00E57DFE">
        <w:rPr>
          <w:sz w:val="22"/>
          <w:szCs w:val="22"/>
          <w:lang w:val="es"/>
        </w:rPr>
        <w:t xml:space="preserve"> </w:t>
      </w:r>
      <w:r w:rsidRPr="00D97946" w:rsidR="334E4D01">
        <w:rPr>
          <w:sz w:val="22"/>
          <w:szCs w:val="22"/>
          <w:lang w:val="es"/>
        </w:rPr>
        <w:t>permitiendo</w:t>
      </w:r>
      <w:r w:rsidRPr="00D97946" w:rsidR="00E57DFE">
        <w:rPr>
          <w:sz w:val="22"/>
          <w:szCs w:val="22"/>
          <w:lang w:val="es"/>
        </w:rPr>
        <w:t xml:space="preserve"> </w:t>
      </w:r>
      <w:r w:rsidRPr="00D97946" w:rsidR="334E4D01">
        <w:rPr>
          <w:sz w:val="22"/>
          <w:szCs w:val="22"/>
          <w:lang w:val="es"/>
        </w:rPr>
        <w:t>que</w:t>
      </w:r>
      <w:r w:rsidRPr="00D97946" w:rsidR="00E57DFE">
        <w:rPr>
          <w:sz w:val="22"/>
          <w:szCs w:val="22"/>
          <w:lang w:val="es"/>
        </w:rPr>
        <w:t xml:space="preserve"> </w:t>
      </w:r>
      <w:r w:rsidRPr="00D97946" w:rsidR="334E4D01">
        <w:rPr>
          <w:sz w:val="22"/>
          <w:szCs w:val="22"/>
          <w:lang w:val="es"/>
        </w:rPr>
        <w:t>una</w:t>
      </w:r>
      <w:r w:rsidRPr="00D97946" w:rsidR="00E57DFE">
        <w:rPr>
          <w:sz w:val="22"/>
          <w:szCs w:val="22"/>
          <w:lang w:val="es"/>
        </w:rPr>
        <w:t xml:space="preserve"> </w:t>
      </w:r>
      <w:r w:rsidRPr="00D97946" w:rsidR="334E4D01">
        <w:rPr>
          <w:sz w:val="22"/>
          <w:szCs w:val="22"/>
          <w:lang w:val="es"/>
        </w:rPr>
        <w:t>amenaza</w:t>
      </w:r>
      <w:r w:rsidRPr="00D97946" w:rsidR="00E57DFE">
        <w:rPr>
          <w:sz w:val="22"/>
          <w:szCs w:val="22"/>
          <w:lang w:val="es"/>
        </w:rPr>
        <w:t xml:space="preserve"> </w:t>
      </w:r>
      <w:r w:rsidRPr="00D97946" w:rsidR="334E4D01">
        <w:rPr>
          <w:sz w:val="22"/>
          <w:szCs w:val="22"/>
          <w:lang w:val="es"/>
        </w:rPr>
        <w:t>atraviese</w:t>
      </w:r>
      <w:r w:rsidRPr="00D97946" w:rsidR="00E57DFE">
        <w:rPr>
          <w:sz w:val="22"/>
          <w:szCs w:val="22"/>
          <w:lang w:val="es"/>
        </w:rPr>
        <w:t xml:space="preserve"> </w:t>
      </w:r>
      <w:r w:rsidRPr="00D97946" w:rsidR="334E4D01">
        <w:rPr>
          <w:sz w:val="22"/>
          <w:szCs w:val="22"/>
          <w:lang w:val="es"/>
        </w:rPr>
        <w:t>sucesivamente</w:t>
      </w:r>
      <w:r w:rsidRPr="00D97946" w:rsidR="00E57DFE">
        <w:rPr>
          <w:sz w:val="22"/>
          <w:szCs w:val="22"/>
          <w:lang w:val="es"/>
        </w:rPr>
        <w:t xml:space="preserve"> </w:t>
      </w:r>
      <w:r w:rsidRPr="00D97946" w:rsidR="334E4D01">
        <w:rPr>
          <w:sz w:val="22"/>
          <w:szCs w:val="22"/>
          <w:lang w:val="es"/>
        </w:rPr>
        <w:t>todas</w:t>
      </w:r>
      <w:r w:rsidRPr="00D97946" w:rsidR="00E57DFE">
        <w:rPr>
          <w:sz w:val="22"/>
          <w:szCs w:val="22"/>
          <w:lang w:val="es"/>
        </w:rPr>
        <w:t xml:space="preserve"> </w:t>
      </w:r>
      <w:r w:rsidRPr="00D97946" w:rsidR="334E4D01">
        <w:rPr>
          <w:sz w:val="22"/>
          <w:szCs w:val="22"/>
          <w:lang w:val="es"/>
        </w:rPr>
        <w:t>las</w:t>
      </w:r>
      <w:r w:rsidRPr="00D97946" w:rsidR="00E57DFE">
        <w:rPr>
          <w:sz w:val="22"/>
          <w:szCs w:val="22"/>
          <w:lang w:val="es"/>
        </w:rPr>
        <w:t xml:space="preserve"> </w:t>
      </w:r>
      <w:r w:rsidRPr="00D97946" w:rsidR="334E4D01">
        <w:rPr>
          <w:sz w:val="22"/>
          <w:szCs w:val="22"/>
          <w:lang w:val="es"/>
        </w:rPr>
        <w:t>defensas.</w:t>
      </w:r>
      <w:r w:rsidRPr="00D97946" w:rsidR="00E57DFE">
        <w:rPr>
          <w:sz w:val="22"/>
          <w:szCs w:val="22"/>
          <w:lang w:val="es"/>
        </w:rPr>
        <w:t xml:space="preserve"> </w:t>
      </w:r>
      <w:r w:rsidR="003725FD">
        <w:rPr>
          <w:sz w:val="22"/>
          <w:szCs w:val="22"/>
          <w:lang w:val="es"/>
        </w:rPr>
        <w:t>Este proceso constituye la trayectoria de oportunidad del accidente.</w:t>
      </w:r>
    </w:p>
    <w:p w:rsidR="00121B73" w:rsidP="00C43EC5" w:rsidRDefault="334E4D01" w14:paraId="491752A9" w14:textId="77777777">
      <w:pPr>
        <w:spacing w:after="0"/>
        <w:jc w:val="both"/>
        <w:rPr>
          <w:sz w:val="22"/>
          <w:szCs w:val="22"/>
          <w:lang w:val="es"/>
        </w:rPr>
      </w:pPr>
      <w:r w:rsidRPr="001320AA">
        <w:rPr>
          <w:i/>
          <w:iCs/>
          <w:sz w:val="22"/>
          <w:szCs w:val="22"/>
          <w:lang w:val="es"/>
        </w:rPr>
        <w:lastRenderedPageBreak/>
        <w:t>Dimensión</w:t>
      </w:r>
      <w:r w:rsidRPr="001320AA" w:rsidR="00E57DFE">
        <w:rPr>
          <w:i/>
          <w:iCs/>
          <w:sz w:val="22"/>
          <w:szCs w:val="22"/>
          <w:lang w:val="es"/>
        </w:rPr>
        <w:t xml:space="preserve"> </w:t>
      </w:r>
      <w:r w:rsidRPr="001320AA">
        <w:rPr>
          <w:i/>
          <w:iCs/>
          <w:sz w:val="22"/>
          <w:szCs w:val="22"/>
          <w:lang w:val="es"/>
        </w:rPr>
        <w:t>temporal</w:t>
      </w:r>
      <w:r w:rsidRPr="001320AA" w:rsidR="00E57DFE">
        <w:rPr>
          <w:i/>
          <w:iCs/>
          <w:sz w:val="22"/>
          <w:szCs w:val="22"/>
          <w:lang w:val="es"/>
        </w:rPr>
        <w:t xml:space="preserve"> </w:t>
      </w:r>
      <w:r w:rsidRPr="001320AA">
        <w:rPr>
          <w:i/>
          <w:iCs/>
          <w:sz w:val="22"/>
          <w:szCs w:val="22"/>
          <w:lang w:val="es"/>
        </w:rPr>
        <w:t>del</w:t>
      </w:r>
      <w:r w:rsidRPr="001320AA" w:rsidR="00E57DFE">
        <w:rPr>
          <w:i/>
          <w:iCs/>
          <w:sz w:val="22"/>
          <w:szCs w:val="22"/>
          <w:lang w:val="es"/>
        </w:rPr>
        <w:t xml:space="preserve"> </w:t>
      </w:r>
      <w:r w:rsidRPr="001320AA">
        <w:rPr>
          <w:i/>
          <w:iCs/>
          <w:sz w:val="22"/>
          <w:szCs w:val="22"/>
          <w:lang w:val="es"/>
        </w:rPr>
        <w:t>riesgo</w:t>
      </w:r>
      <w:r w:rsidR="001320AA">
        <w:t xml:space="preserve">. </w:t>
      </w:r>
      <w:r w:rsidRPr="73282652">
        <w:rPr>
          <w:sz w:val="22"/>
          <w:szCs w:val="22"/>
          <w:lang w:val="es"/>
        </w:rPr>
        <w:t>El</w:t>
      </w:r>
      <w:r w:rsidR="00E57DFE">
        <w:rPr>
          <w:sz w:val="22"/>
          <w:szCs w:val="22"/>
          <w:lang w:val="es"/>
        </w:rPr>
        <w:t xml:space="preserve"> </w:t>
      </w:r>
      <w:r w:rsidRPr="73282652">
        <w:rPr>
          <w:sz w:val="22"/>
          <w:szCs w:val="22"/>
          <w:lang w:val="es"/>
        </w:rPr>
        <w:t>modelo</w:t>
      </w:r>
      <w:r w:rsidR="00E57DFE">
        <w:rPr>
          <w:sz w:val="22"/>
          <w:szCs w:val="22"/>
          <w:lang w:val="es"/>
        </w:rPr>
        <w:t xml:space="preserve"> </w:t>
      </w:r>
      <w:r w:rsidRPr="73282652">
        <w:rPr>
          <w:sz w:val="22"/>
          <w:szCs w:val="22"/>
          <w:lang w:val="es"/>
        </w:rPr>
        <w:t>incorpora</w:t>
      </w:r>
      <w:r w:rsidR="00E57DFE">
        <w:rPr>
          <w:sz w:val="22"/>
          <w:szCs w:val="22"/>
          <w:lang w:val="es"/>
        </w:rPr>
        <w:t xml:space="preserve"> </w:t>
      </w:r>
      <w:r w:rsidRPr="73282652">
        <w:rPr>
          <w:sz w:val="22"/>
          <w:szCs w:val="22"/>
          <w:lang w:val="es"/>
        </w:rPr>
        <w:t>una</w:t>
      </w:r>
      <w:r w:rsidR="00E57DFE">
        <w:rPr>
          <w:sz w:val="22"/>
          <w:szCs w:val="22"/>
          <w:lang w:val="es"/>
        </w:rPr>
        <w:t xml:space="preserve"> </w:t>
      </w:r>
      <w:r w:rsidRPr="73282652">
        <w:rPr>
          <w:sz w:val="22"/>
          <w:szCs w:val="22"/>
          <w:lang w:val="es"/>
        </w:rPr>
        <w:t>dimensión</w:t>
      </w:r>
      <w:r w:rsidR="00E57DFE">
        <w:rPr>
          <w:sz w:val="22"/>
          <w:szCs w:val="22"/>
          <w:lang w:val="es"/>
        </w:rPr>
        <w:t xml:space="preserve"> </w:t>
      </w:r>
      <w:r w:rsidRPr="73282652">
        <w:rPr>
          <w:sz w:val="22"/>
          <w:szCs w:val="22"/>
          <w:lang w:val="es"/>
        </w:rPr>
        <w:t>temporal:</w:t>
      </w:r>
      <w:r w:rsidR="00E57DFE">
        <w:rPr>
          <w:sz w:val="22"/>
          <w:szCs w:val="22"/>
          <w:lang w:val="es"/>
        </w:rPr>
        <w:t xml:space="preserve"> </w:t>
      </w:r>
      <w:r w:rsidRPr="73282652">
        <w:rPr>
          <w:sz w:val="22"/>
          <w:szCs w:val="22"/>
          <w:lang w:val="es"/>
        </w:rPr>
        <w:t>decisiones</w:t>
      </w:r>
      <w:r w:rsidR="00E57DFE">
        <w:rPr>
          <w:sz w:val="22"/>
          <w:szCs w:val="22"/>
          <w:lang w:val="es"/>
        </w:rPr>
        <w:t xml:space="preserve"> </w:t>
      </w:r>
      <w:r w:rsidRPr="73282652">
        <w:rPr>
          <w:sz w:val="22"/>
          <w:szCs w:val="22"/>
          <w:lang w:val="es"/>
        </w:rPr>
        <w:t>pasadas</w:t>
      </w:r>
      <w:r w:rsidR="00E57DFE">
        <w:rPr>
          <w:sz w:val="22"/>
          <w:szCs w:val="22"/>
          <w:lang w:val="es"/>
        </w:rPr>
        <w:t xml:space="preserve"> </w:t>
      </w:r>
      <w:r w:rsidRPr="73282652">
        <w:rPr>
          <w:sz w:val="22"/>
          <w:szCs w:val="22"/>
          <w:lang w:val="es"/>
        </w:rPr>
        <w:t>pueden</w:t>
      </w:r>
      <w:r w:rsidR="00E57DFE">
        <w:rPr>
          <w:sz w:val="22"/>
          <w:szCs w:val="22"/>
          <w:lang w:val="es"/>
        </w:rPr>
        <w:t xml:space="preserve"> </w:t>
      </w:r>
      <w:r w:rsidRPr="73282652">
        <w:rPr>
          <w:sz w:val="22"/>
          <w:szCs w:val="22"/>
          <w:lang w:val="es"/>
        </w:rPr>
        <w:t>incubar</w:t>
      </w:r>
      <w:r w:rsidR="00E57DFE">
        <w:rPr>
          <w:sz w:val="22"/>
          <w:szCs w:val="22"/>
          <w:lang w:val="es"/>
        </w:rPr>
        <w:t xml:space="preserve"> </w:t>
      </w:r>
      <w:r w:rsidRPr="73282652">
        <w:rPr>
          <w:sz w:val="22"/>
          <w:szCs w:val="22"/>
          <w:lang w:val="es"/>
        </w:rPr>
        <w:t>riesgos</w:t>
      </w:r>
      <w:r w:rsidR="00E57DFE">
        <w:rPr>
          <w:sz w:val="22"/>
          <w:szCs w:val="22"/>
          <w:lang w:val="es"/>
        </w:rPr>
        <w:t xml:space="preserve"> </w:t>
      </w:r>
      <w:r w:rsidRPr="73282652">
        <w:rPr>
          <w:sz w:val="22"/>
          <w:szCs w:val="22"/>
          <w:lang w:val="es"/>
        </w:rPr>
        <w:t>que</w:t>
      </w:r>
      <w:r w:rsidR="00E57DFE">
        <w:rPr>
          <w:sz w:val="22"/>
          <w:szCs w:val="22"/>
          <w:lang w:val="es"/>
        </w:rPr>
        <w:t xml:space="preserve"> </w:t>
      </w:r>
      <w:r w:rsidRPr="73282652">
        <w:rPr>
          <w:sz w:val="22"/>
          <w:szCs w:val="22"/>
          <w:lang w:val="es"/>
        </w:rPr>
        <w:t>se</w:t>
      </w:r>
      <w:r w:rsidR="00E57DFE">
        <w:rPr>
          <w:sz w:val="22"/>
          <w:szCs w:val="22"/>
          <w:lang w:val="es"/>
        </w:rPr>
        <w:t xml:space="preserve"> </w:t>
      </w:r>
      <w:r w:rsidRPr="73282652">
        <w:rPr>
          <w:sz w:val="22"/>
          <w:szCs w:val="22"/>
          <w:lang w:val="es"/>
        </w:rPr>
        <w:t>manifiestan</w:t>
      </w:r>
      <w:r w:rsidR="00E57DFE">
        <w:rPr>
          <w:sz w:val="22"/>
          <w:szCs w:val="22"/>
          <w:lang w:val="es"/>
        </w:rPr>
        <w:t xml:space="preserve"> </w:t>
      </w:r>
      <w:r w:rsidRPr="73282652">
        <w:rPr>
          <w:sz w:val="22"/>
          <w:szCs w:val="22"/>
          <w:lang w:val="es"/>
        </w:rPr>
        <w:t>años</w:t>
      </w:r>
      <w:r w:rsidR="00E57DFE">
        <w:rPr>
          <w:sz w:val="22"/>
          <w:szCs w:val="22"/>
          <w:lang w:val="es"/>
        </w:rPr>
        <w:t xml:space="preserve"> </w:t>
      </w:r>
      <w:r w:rsidRPr="73282652">
        <w:rPr>
          <w:sz w:val="22"/>
          <w:szCs w:val="22"/>
          <w:lang w:val="es"/>
        </w:rPr>
        <w:t>después.</w:t>
      </w:r>
      <w:r w:rsidR="00E57DFE">
        <w:rPr>
          <w:sz w:val="22"/>
          <w:szCs w:val="22"/>
          <w:lang w:val="es"/>
        </w:rPr>
        <w:t xml:space="preserve"> </w:t>
      </w:r>
      <w:r w:rsidRPr="73282652">
        <w:rPr>
          <w:sz w:val="22"/>
          <w:szCs w:val="22"/>
          <w:lang w:val="es"/>
        </w:rPr>
        <w:t>Las</w:t>
      </w:r>
      <w:r w:rsidR="00E57DFE">
        <w:rPr>
          <w:sz w:val="22"/>
          <w:szCs w:val="22"/>
          <w:lang w:val="es"/>
        </w:rPr>
        <w:t xml:space="preserve"> </w:t>
      </w:r>
      <w:r w:rsidRPr="73282652">
        <w:rPr>
          <w:sz w:val="22"/>
          <w:szCs w:val="22"/>
          <w:lang w:val="es"/>
        </w:rPr>
        <w:t>condiciones</w:t>
      </w:r>
      <w:r w:rsidR="00E57DFE">
        <w:rPr>
          <w:sz w:val="22"/>
          <w:szCs w:val="22"/>
          <w:lang w:val="es"/>
        </w:rPr>
        <w:t xml:space="preserve"> </w:t>
      </w:r>
      <w:r w:rsidRPr="73282652">
        <w:rPr>
          <w:sz w:val="22"/>
          <w:szCs w:val="22"/>
          <w:lang w:val="es"/>
        </w:rPr>
        <w:t>latentes</w:t>
      </w:r>
      <w:r w:rsidR="00E57DFE">
        <w:rPr>
          <w:sz w:val="22"/>
          <w:szCs w:val="22"/>
          <w:lang w:val="es"/>
        </w:rPr>
        <w:t xml:space="preserve"> </w:t>
      </w:r>
      <w:r w:rsidRPr="73282652">
        <w:rPr>
          <w:sz w:val="22"/>
          <w:szCs w:val="22"/>
          <w:lang w:val="es"/>
        </w:rPr>
        <w:t>puede</w:t>
      </w:r>
      <w:r w:rsidR="003725FD">
        <w:rPr>
          <w:sz w:val="22"/>
          <w:szCs w:val="22"/>
          <w:lang w:val="es"/>
        </w:rPr>
        <w:t>n permanecer invisibles hasta que interactúan con una falla activa.</w:t>
      </w:r>
    </w:p>
    <w:p w:rsidR="00FB0AD0" w:rsidP="00690D0D" w:rsidRDefault="000F779F" w14:paraId="6454B4E4" w14:textId="5371FDAD">
      <w:pPr>
        <w:spacing w:after="0" w:line="240" w:lineRule="auto"/>
        <w:jc w:val="both"/>
        <w:rPr>
          <w:sz w:val="22"/>
          <w:szCs w:val="22"/>
          <w:lang w:val="es"/>
        </w:rPr>
      </w:pPr>
      <w:r>
        <w:br/>
      </w:r>
      <w:r w:rsidRPr="001320AA" w:rsidR="334E4D01">
        <w:rPr>
          <w:i/>
          <w:iCs/>
          <w:sz w:val="22"/>
          <w:szCs w:val="22"/>
          <w:lang w:val="es"/>
        </w:rPr>
        <w:t>Resiliencia</w:t>
      </w:r>
      <w:r w:rsidRPr="001320AA" w:rsidR="00E57DFE">
        <w:rPr>
          <w:i/>
          <w:iCs/>
          <w:sz w:val="22"/>
          <w:szCs w:val="22"/>
          <w:lang w:val="es"/>
        </w:rPr>
        <w:t xml:space="preserve"> </w:t>
      </w:r>
      <w:r w:rsidRPr="001320AA" w:rsidR="334E4D01">
        <w:rPr>
          <w:i/>
          <w:iCs/>
          <w:sz w:val="22"/>
          <w:szCs w:val="22"/>
          <w:lang w:val="es"/>
        </w:rPr>
        <w:t>organizacional</w:t>
      </w:r>
      <w:r w:rsidR="001320AA">
        <w:t xml:space="preserve">. </w:t>
      </w:r>
      <w:r w:rsidRPr="73282652" w:rsidR="334E4D01">
        <w:rPr>
          <w:sz w:val="22"/>
          <w:szCs w:val="22"/>
          <w:lang w:val="es"/>
        </w:rPr>
        <w:t>El</w:t>
      </w:r>
      <w:r w:rsidR="00E57DFE">
        <w:rPr>
          <w:sz w:val="22"/>
          <w:szCs w:val="22"/>
          <w:lang w:val="es"/>
        </w:rPr>
        <w:t xml:space="preserve"> </w:t>
      </w:r>
      <w:r w:rsidRPr="73282652" w:rsidR="334E4D01">
        <w:rPr>
          <w:sz w:val="22"/>
          <w:szCs w:val="22"/>
          <w:lang w:val="es"/>
        </w:rPr>
        <w:t>modelo</w:t>
      </w:r>
      <w:r w:rsidR="00E57DFE">
        <w:rPr>
          <w:sz w:val="22"/>
          <w:szCs w:val="22"/>
          <w:lang w:val="es"/>
        </w:rPr>
        <w:t xml:space="preserve"> </w:t>
      </w:r>
      <w:r w:rsidRPr="73282652" w:rsidR="334E4D01">
        <w:rPr>
          <w:sz w:val="22"/>
          <w:szCs w:val="22"/>
          <w:lang w:val="es"/>
        </w:rPr>
        <w:t>fundamenta</w:t>
      </w:r>
      <w:r w:rsidR="00E57DFE">
        <w:rPr>
          <w:sz w:val="22"/>
          <w:szCs w:val="22"/>
          <w:lang w:val="es"/>
        </w:rPr>
        <w:t xml:space="preserve"> </w:t>
      </w:r>
      <w:r w:rsidRPr="73282652" w:rsidR="334E4D01">
        <w:rPr>
          <w:sz w:val="22"/>
          <w:szCs w:val="22"/>
          <w:lang w:val="es"/>
        </w:rPr>
        <w:t>el</w:t>
      </w:r>
      <w:r w:rsidR="00E57DFE">
        <w:rPr>
          <w:sz w:val="22"/>
          <w:szCs w:val="22"/>
          <w:lang w:val="es"/>
        </w:rPr>
        <w:t xml:space="preserve"> </w:t>
      </w:r>
      <w:r w:rsidRPr="73282652" w:rsidR="334E4D01">
        <w:rPr>
          <w:sz w:val="22"/>
          <w:szCs w:val="22"/>
          <w:lang w:val="es"/>
        </w:rPr>
        <w:t>concepto</w:t>
      </w:r>
      <w:r w:rsidR="00E57DFE">
        <w:rPr>
          <w:sz w:val="22"/>
          <w:szCs w:val="22"/>
          <w:lang w:val="es"/>
        </w:rPr>
        <w:t xml:space="preserve"> </w:t>
      </w:r>
      <w:r w:rsidRPr="73282652" w:rsidR="334E4D01">
        <w:rPr>
          <w:sz w:val="22"/>
          <w:szCs w:val="22"/>
          <w:lang w:val="es"/>
        </w:rPr>
        <w:t>de</w:t>
      </w:r>
      <w:r w:rsidR="00E57DFE">
        <w:rPr>
          <w:sz w:val="22"/>
          <w:szCs w:val="22"/>
          <w:lang w:val="es"/>
        </w:rPr>
        <w:t xml:space="preserve"> </w:t>
      </w:r>
      <w:r w:rsidRPr="73282652" w:rsidR="334E4D01">
        <w:rPr>
          <w:sz w:val="22"/>
          <w:szCs w:val="22"/>
          <w:lang w:val="es"/>
        </w:rPr>
        <w:t>resiliencia</w:t>
      </w:r>
      <w:r w:rsidR="00E57DFE">
        <w:rPr>
          <w:sz w:val="22"/>
          <w:szCs w:val="22"/>
          <w:lang w:val="es"/>
        </w:rPr>
        <w:t xml:space="preserve"> </w:t>
      </w:r>
      <w:r w:rsidRPr="73282652" w:rsidR="334E4D01">
        <w:rPr>
          <w:sz w:val="22"/>
          <w:szCs w:val="22"/>
          <w:lang w:val="es"/>
        </w:rPr>
        <w:t>organizacional,</w:t>
      </w:r>
      <w:r w:rsidR="00E57DFE">
        <w:rPr>
          <w:sz w:val="22"/>
          <w:szCs w:val="22"/>
          <w:lang w:val="es"/>
        </w:rPr>
        <w:t xml:space="preserve"> </w:t>
      </w:r>
      <w:r w:rsidRPr="73282652" w:rsidR="334E4D01">
        <w:rPr>
          <w:sz w:val="22"/>
          <w:szCs w:val="22"/>
          <w:lang w:val="es"/>
        </w:rPr>
        <w:t>entendida</w:t>
      </w:r>
      <w:r w:rsidR="00E57DFE">
        <w:rPr>
          <w:sz w:val="22"/>
          <w:szCs w:val="22"/>
          <w:lang w:val="es"/>
        </w:rPr>
        <w:t xml:space="preserve"> </w:t>
      </w:r>
      <w:r w:rsidRPr="73282652" w:rsidR="334E4D01">
        <w:rPr>
          <w:sz w:val="22"/>
          <w:szCs w:val="22"/>
          <w:lang w:val="es"/>
        </w:rPr>
        <w:t>como</w:t>
      </w:r>
      <w:r w:rsidR="00E57DFE">
        <w:rPr>
          <w:sz w:val="22"/>
          <w:szCs w:val="22"/>
          <w:lang w:val="es"/>
        </w:rPr>
        <w:t xml:space="preserve"> </w:t>
      </w:r>
      <w:r w:rsidRPr="73282652" w:rsidR="334E4D01">
        <w:rPr>
          <w:sz w:val="22"/>
          <w:szCs w:val="22"/>
          <w:lang w:val="es"/>
        </w:rPr>
        <w:t>la</w:t>
      </w:r>
      <w:r w:rsidR="00E57DFE">
        <w:rPr>
          <w:sz w:val="22"/>
          <w:szCs w:val="22"/>
          <w:lang w:val="es"/>
        </w:rPr>
        <w:t xml:space="preserve"> </w:t>
      </w:r>
      <w:r w:rsidRPr="73282652" w:rsidR="334E4D01">
        <w:rPr>
          <w:sz w:val="22"/>
          <w:szCs w:val="22"/>
          <w:lang w:val="es"/>
        </w:rPr>
        <w:t>capacidad</w:t>
      </w:r>
      <w:r w:rsidR="00E57DFE">
        <w:rPr>
          <w:sz w:val="22"/>
          <w:szCs w:val="22"/>
          <w:lang w:val="es"/>
        </w:rPr>
        <w:t xml:space="preserve"> </w:t>
      </w:r>
      <w:r w:rsidRPr="73282652" w:rsidR="334E4D01">
        <w:rPr>
          <w:sz w:val="22"/>
          <w:szCs w:val="22"/>
          <w:lang w:val="es"/>
        </w:rPr>
        <w:t>del</w:t>
      </w:r>
      <w:r w:rsidR="00E57DFE">
        <w:rPr>
          <w:sz w:val="22"/>
          <w:szCs w:val="22"/>
          <w:lang w:val="es"/>
        </w:rPr>
        <w:t xml:space="preserve"> </w:t>
      </w:r>
      <w:r w:rsidRPr="73282652" w:rsidR="334E4D01">
        <w:rPr>
          <w:sz w:val="22"/>
          <w:szCs w:val="22"/>
          <w:lang w:val="es"/>
        </w:rPr>
        <w:t>sistema</w:t>
      </w:r>
      <w:r w:rsidR="00E57DFE">
        <w:rPr>
          <w:sz w:val="22"/>
          <w:szCs w:val="22"/>
          <w:lang w:val="es"/>
        </w:rPr>
        <w:t xml:space="preserve"> </w:t>
      </w:r>
      <w:r w:rsidRPr="73282652" w:rsidR="334E4D01">
        <w:rPr>
          <w:sz w:val="22"/>
          <w:szCs w:val="22"/>
          <w:lang w:val="es"/>
        </w:rPr>
        <w:t>para</w:t>
      </w:r>
      <w:r w:rsidR="00E57DFE">
        <w:rPr>
          <w:sz w:val="22"/>
          <w:szCs w:val="22"/>
          <w:lang w:val="es"/>
        </w:rPr>
        <w:t xml:space="preserve"> </w:t>
      </w:r>
      <w:r w:rsidRPr="73282652" w:rsidR="334E4D01">
        <w:rPr>
          <w:sz w:val="22"/>
          <w:szCs w:val="22"/>
          <w:lang w:val="es"/>
        </w:rPr>
        <w:t>absorber</w:t>
      </w:r>
      <w:r w:rsidR="00E57DFE">
        <w:rPr>
          <w:sz w:val="22"/>
          <w:szCs w:val="22"/>
          <w:lang w:val="es"/>
        </w:rPr>
        <w:t xml:space="preserve"> </w:t>
      </w:r>
      <w:r w:rsidRPr="73282652" w:rsidR="334E4D01">
        <w:rPr>
          <w:sz w:val="22"/>
          <w:szCs w:val="22"/>
          <w:lang w:val="es"/>
        </w:rPr>
        <w:t>errores</w:t>
      </w:r>
      <w:r w:rsidR="00E57DFE">
        <w:rPr>
          <w:sz w:val="22"/>
          <w:szCs w:val="22"/>
          <w:lang w:val="es"/>
        </w:rPr>
        <w:t xml:space="preserve"> </w:t>
      </w:r>
      <w:r w:rsidRPr="73282652" w:rsidR="334E4D01">
        <w:rPr>
          <w:sz w:val="22"/>
          <w:szCs w:val="22"/>
          <w:lang w:val="es"/>
        </w:rPr>
        <w:t>inevitables</w:t>
      </w:r>
      <w:r w:rsidR="00E57DFE">
        <w:rPr>
          <w:sz w:val="22"/>
          <w:szCs w:val="22"/>
          <w:lang w:val="es"/>
        </w:rPr>
        <w:t xml:space="preserve"> </w:t>
      </w:r>
      <w:r w:rsidRPr="73282652" w:rsidR="334E4D01">
        <w:rPr>
          <w:sz w:val="22"/>
          <w:szCs w:val="22"/>
          <w:lang w:val="es"/>
        </w:rPr>
        <w:t>sin</w:t>
      </w:r>
      <w:r w:rsidR="00E57DFE">
        <w:rPr>
          <w:sz w:val="22"/>
          <w:szCs w:val="22"/>
          <w:lang w:val="es"/>
        </w:rPr>
        <w:t xml:space="preserve"> </w:t>
      </w:r>
      <w:r w:rsidRPr="73282652" w:rsidR="334E4D01">
        <w:rPr>
          <w:sz w:val="22"/>
          <w:szCs w:val="22"/>
          <w:lang w:val="es"/>
        </w:rPr>
        <w:t>que</w:t>
      </w:r>
      <w:r w:rsidR="00E57DFE">
        <w:rPr>
          <w:sz w:val="22"/>
          <w:szCs w:val="22"/>
          <w:lang w:val="es"/>
        </w:rPr>
        <w:t xml:space="preserve"> </w:t>
      </w:r>
      <w:r w:rsidRPr="73282652" w:rsidR="334E4D01">
        <w:rPr>
          <w:sz w:val="22"/>
          <w:szCs w:val="22"/>
          <w:lang w:val="es"/>
        </w:rPr>
        <w:t>estos</w:t>
      </w:r>
      <w:r w:rsidR="00E57DFE">
        <w:rPr>
          <w:sz w:val="22"/>
          <w:szCs w:val="22"/>
          <w:lang w:val="es"/>
        </w:rPr>
        <w:t xml:space="preserve"> </w:t>
      </w:r>
      <w:r w:rsidRPr="73282652" w:rsidR="334E4D01">
        <w:rPr>
          <w:sz w:val="22"/>
          <w:szCs w:val="22"/>
          <w:lang w:val="es"/>
        </w:rPr>
        <w:t>escale</w:t>
      </w:r>
      <w:r w:rsidR="003725FD">
        <w:rPr>
          <w:sz w:val="22"/>
          <w:szCs w:val="22"/>
          <w:lang w:val="es"/>
        </w:rPr>
        <w:t>n a consecuencias catastróficas.</w:t>
      </w:r>
      <w:r w:rsidR="00DA050B">
        <w:rPr>
          <w:sz w:val="22"/>
          <w:szCs w:val="22"/>
          <w:lang w:val="es"/>
        </w:rPr>
        <w:t xml:space="preserve"> Las i</w:t>
      </w:r>
      <w:r w:rsidRPr="73282652" w:rsidR="334E4D01">
        <w:rPr>
          <w:sz w:val="22"/>
          <w:szCs w:val="22"/>
          <w:lang w:val="es"/>
        </w:rPr>
        <w:t>mplicaciones</w:t>
      </w:r>
      <w:r w:rsidR="00E57DFE">
        <w:rPr>
          <w:sz w:val="22"/>
          <w:szCs w:val="22"/>
          <w:lang w:val="es"/>
        </w:rPr>
        <w:t xml:space="preserve"> </w:t>
      </w:r>
      <w:r w:rsidRPr="73282652" w:rsidR="334E4D01">
        <w:rPr>
          <w:sz w:val="22"/>
          <w:szCs w:val="22"/>
          <w:lang w:val="es"/>
        </w:rPr>
        <w:t>para</w:t>
      </w:r>
      <w:r w:rsidR="00E57DFE">
        <w:rPr>
          <w:sz w:val="22"/>
          <w:szCs w:val="22"/>
          <w:lang w:val="es"/>
        </w:rPr>
        <w:t xml:space="preserve"> </w:t>
      </w:r>
      <w:r w:rsidRPr="73282652" w:rsidR="334E4D01">
        <w:rPr>
          <w:sz w:val="22"/>
          <w:szCs w:val="22"/>
          <w:lang w:val="es"/>
        </w:rPr>
        <w:t>la</w:t>
      </w:r>
      <w:r w:rsidR="00E57DFE">
        <w:rPr>
          <w:sz w:val="22"/>
          <w:szCs w:val="22"/>
          <w:lang w:val="es"/>
        </w:rPr>
        <w:t xml:space="preserve"> </w:t>
      </w:r>
      <w:r w:rsidRPr="73282652" w:rsidR="334E4D01">
        <w:rPr>
          <w:sz w:val="22"/>
          <w:szCs w:val="22"/>
          <w:lang w:val="es"/>
        </w:rPr>
        <w:t>gestión</w:t>
      </w:r>
      <w:r w:rsidR="00E57DFE">
        <w:rPr>
          <w:sz w:val="22"/>
          <w:szCs w:val="22"/>
          <w:lang w:val="es"/>
        </w:rPr>
        <w:t xml:space="preserve"> </w:t>
      </w:r>
      <w:r w:rsidRPr="73282652" w:rsidR="334E4D01">
        <w:rPr>
          <w:sz w:val="22"/>
          <w:szCs w:val="22"/>
          <w:lang w:val="es"/>
        </w:rPr>
        <w:t>del</w:t>
      </w:r>
      <w:r w:rsidR="00E57DFE">
        <w:rPr>
          <w:sz w:val="22"/>
          <w:szCs w:val="22"/>
          <w:lang w:val="es"/>
        </w:rPr>
        <w:t xml:space="preserve"> </w:t>
      </w:r>
      <w:r w:rsidRPr="73282652" w:rsidR="334E4D01">
        <w:rPr>
          <w:sz w:val="22"/>
          <w:szCs w:val="22"/>
          <w:lang w:val="es"/>
        </w:rPr>
        <w:t>riesgo</w:t>
      </w:r>
      <w:r w:rsidR="00E57DFE">
        <w:rPr>
          <w:sz w:val="22"/>
          <w:szCs w:val="22"/>
          <w:lang w:val="es"/>
        </w:rPr>
        <w:t xml:space="preserve"> </w:t>
      </w:r>
      <w:r w:rsidRPr="73282652" w:rsidR="334E4D01">
        <w:rPr>
          <w:sz w:val="22"/>
          <w:szCs w:val="22"/>
          <w:lang w:val="es"/>
        </w:rPr>
        <w:t>organizacional</w:t>
      </w:r>
      <w:r w:rsidR="008118E5">
        <w:rPr>
          <w:sz w:val="22"/>
          <w:szCs w:val="22"/>
          <w:lang w:val="es"/>
        </w:rPr>
        <w:t xml:space="preserve"> se relacionan entonces con:</w:t>
      </w:r>
    </w:p>
    <w:p w:rsidR="008118E5" w:rsidP="00DA050B" w:rsidRDefault="008118E5" w14:paraId="63377939" w14:textId="77777777">
      <w:pPr>
        <w:spacing w:after="0"/>
        <w:jc w:val="both"/>
        <w:rPr>
          <w:sz w:val="22"/>
          <w:szCs w:val="22"/>
          <w:lang w:val="es"/>
        </w:rPr>
      </w:pPr>
    </w:p>
    <w:p w:rsidR="000F779F" w:rsidP="00C43EC5" w:rsidRDefault="334E4D01" w14:paraId="211C5DAF" w14:textId="1337CA18">
      <w:pPr>
        <w:spacing w:after="0"/>
        <w:rPr>
          <w:sz w:val="22"/>
          <w:szCs w:val="22"/>
          <w:lang w:val="es"/>
        </w:rPr>
      </w:pPr>
      <w:r w:rsidRPr="73282652">
        <w:rPr>
          <w:sz w:val="22"/>
          <w:szCs w:val="22"/>
          <w:lang w:val="es"/>
        </w:rPr>
        <w:t>1.</w:t>
      </w:r>
      <w:r w:rsidR="00E57DFE">
        <w:rPr>
          <w:sz w:val="22"/>
          <w:szCs w:val="22"/>
          <w:lang w:val="es"/>
        </w:rPr>
        <w:t xml:space="preserve"> </w:t>
      </w:r>
      <w:r w:rsidRPr="73282652">
        <w:rPr>
          <w:sz w:val="22"/>
          <w:szCs w:val="22"/>
          <w:lang w:val="es"/>
        </w:rPr>
        <w:t>Enfoque</w:t>
      </w:r>
      <w:r w:rsidR="00E57DFE">
        <w:rPr>
          <w:sz w:val="22"/>
          <w:szCs w:val="22"/>
          <w:lang w:val="es"/>
        </w:rPr>
        <w:t xml:space="preserve"> </w:t>
      </w:r>
      <w:r w:rsidRPr="73282652">
        <w:rPr>
          <w:sz w:val="22"/>
          <w:szCs w:val="22"/>
          <w:lang w:val="es"/>
        </w:rPr>
        <w:t>sistémico</w:t>
      </w:r>
      <w:r w:rsidR="00E57DFE">
        <w:rPr>
          <w:sz w:val="22"/>
          <w:szCs w:val="22"/>
          <w:lang w:val="es"/>
        </w:rPr>
        <w:t xml:space="preserve"> </w:t>
      </w:r>
      <w:r w:rsidRPr="73282652">
        <w:rPr>
          <w:sz w:val="22"/>
          <w:szCs w:val="22"/>
          <w:lang w:val="es"/>
        </w:rPr>
        <w:t>del</w:t>
      </w:r>
      <w:r w:rsidR="00E57DFE">
        <w:rPr>
          <w:sz w:val="22"/>
          <w:szCs w:val="22"/>
          <w:lang w:val="es"/>
        </w:rPr>
        <w:t xml:space="preserve"> </w:t>
      </w:r>
      <w:r w:rsidRPr="73282652">
        <w:rPr>
          <w:sz w:val="22"/>
          <w:szCs w:val="22"/>
          <w:lang w:val="es"/>
        </w:rPr>
        <w:t>análisis</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incidentes.</w:t>
      </w:r>
      <w:r w:rsidR="000F779F">
        <w:br/>
      </w:r>
      <w:r w:rsidRPr="73282652">
        <w:rPr>
          <w:sz w:val="22"/>
          <w:szCs w:val="22"/>
          <w:lang w:val="es"/>
        </w:rPr>
        <w:t>2.</w:t>
      </w:r>
      <w:r w:rsidR="00E57DFE">
        <w:rPr>
          <w:sz w:val="22"/>
          <w:szCs w:val="22"/>
          <w:lang w:val="es"/>
        </w:rPr>
        <w:t xml:space="preserve"> </w:t>
      </w:r>
      <w:r w:rsidRPr="73282652">
        <w:rPr>
          <w:sz w:val="22"/>
          <w:szCs w:val="22"/>
          <w:lang w:val="es"/>
        </w:rPr>
        <w:t>Identificación</w:t>
      </w:r>
      <w:r w:rsidR="00E57DFE">
        <w:rPr>
          <w:sz w:val="22"/>
          <w:szCs w:val="22"/>
          <w:lang w:val="es"/>
        </w:rPr>
        <w:t xml:space="preserve"> </w:t>
      </w:r>
      <w:r w:rsidRPr="73282652">
        <w:rPr>
          <w:sz w:val="22"/>
          <w:szCs w:val="22"/>
          <w:lang w:val="es"/>
        </w:rPr>
        <w:t>proactiva</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condiciones</w:t>
      </w:r>
      <w:r w:rsidR="00E57DFE">
        <w:rPr>
          <w:sz w:val="22"/>
          <w:szCs w:val="22"/>
          <w:lang w:val="es"/>
        </w:rPr>
        <w:t xml:space="preserve"> </w:t>
      </w:r>
      <w:r w:rsidRPr="73282652">
        <w:rPr>
          <w:sz w:val="22"/>
          <w:szCs w:val="22"/>
          <w:lang w:val="es"/>
        </w:rPr>
        <w:t>latentes.</w:t>
      </w:r>
      <w:r w:rsidR="000F779F">
        <w:br/>
      </w:r>
      <w:r w:rsidRPr="73282652">
        <w:rPr>
          <w:sz w:val="22"/>
          <w:szCs w:val="22"/>
          <w:lang w:val="es"/>
        </w:rPr>
        <w:t>3.</w:t>
      </w:r>
      <w:r w:rsidR="00E57DFE">
        <w:rPr>
          <w:sz w:val="22"/>
          <w:szCs w:val="22"/>
          <w:lang w:val="es"/>
        </w:rPr>
        <w:t xml:space="preserve"> </w:t>
      </w:r>
      <w:r w:rsidRPr="73282652">
        <w:rPr>
          <w:sz w:val="22"/>
          <w:szCs w:val="22"/>
          <w:lang w:val="es"/>
        </w:rPr>
        <w:t>Fortalecimiento</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defensas</w:t>
      </w:r>
      <w:r w:rsidR="00E57DFE">
        <w:rPr>
          <w:sz w:val="22"/>
          <w:szCs w:val="22"/>
          <w:lang w:val="es"/>
        </w:rPr>
        <w:t xml:space="preserve"> </w:t>
      </w:r>
      <w:r w:rsidRPr="73282652">
        <w:rPr>
          <w:sz w:val="22"/>
          <w:szCs w:val="22"/>
          <w:lang w:val="es"/>
        </w:rPr>
        <w:t>redundantes.</w:t>
      </w:r>
      <w:r w:rsidR="000F779F">
        <w:br/>
      </w:r>
      <w:r w:rsidRPr="73282652">
        <w:rPr>
          <w:sz w:val="22"/>
          <w:szCs w:val="22"/>
          <w:lang w:val="es"/>
        </w:rPr>
        <w:t>4.</w:t>
      </w:r>
      <w:r w:rsidR="00E57DFE">
        <w:rPr>
          <w:sz w:val="22"/>
          <w:szCs w:val="22"/>
          <w:lang w:val="es"/>
        </w:rPr>
        <w:t xml:space="preserve"> </w:t>
      </w:r>
      <w:r w:rsidRPr="73282652">
        <w:rPr>
          <w:sz w:val="22"/>
          <w:szCs w:val="22"/>
          <w:lang w:val="es"/>
        </w:rPr>
        <w:t>Cultura</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aprendizaje</w:t>
      </w:r>
      <w:r w:rsidR="00E57DFE">
        <w:rPr>
          <w:sz w:val="22"/>
          <w:szCs w:val="22"/>
          <w:lang w:val="es"/>
        </w:rPr>
        <w:t xml:space="preserve"> </w:t>
      </w:r>
      <w:r w:rsidRPr="73282652">
        <w:rPr>
          <w:sz w:val="22"/>
          <w:szCs w:val="22"/>
          <w:lang w:val="es"/>
        </w:rPr>
        <w:t>organizacional.</w:t>
      </w:r>
      <w:r w:rsidR="000F779F">
        <w:br/>
      </w:r>
      <w:r w:rsidRPr="73282652">
        <w:rPr>
          <w:sz w:val="22"/>
          <w:szCs w:val="22"/>
          <w:lang w:val="es"/>
        </w:rPr>
        <w:t>5.</w:t>
      </w:r>
      <w:r w:rsidR="00E57DFE">
        <w:rPr>
          <w:sz w:val="22"/>
          <w:szCs w:val="22"/>
          <w:lang w:val="es"/>
        </w:rPr>
        <w:t xml:space="preserve"> </w:t>
      </w:r>
      <w:r w:rsidRPr="73282652">
        <w:rPr>
          <w:sz w:val="22"/>
          <w:szCs w:val="22"/>
          <w:lang w:val="es"/>
        </w:rPr>
        <w:t>Supervisión</w:t>
      </w:r>
      <w:r w:rsidR="00E57DFE">
        <w:rPr>
          <w:sz w:val="22"/>
          <w:szCs w:val="22"/>
          <w:lang w:val="es"/>
        </w:rPr>
        <w:t xml:space="preserve"> </w:t>
      </w:r>
      <w:r w:rsidRPr="73282652">
        <w:rPr>
          <w:sz w:val="22"/>
          <w:szCs w:val="22"/>
          <w:lang w:val="es"/>
        </w:rPr>
        <w:t>estratégica</w:t>
      </w:r>
      <w:r w:rsidR="00E57DFE">
        <w:rPr>
          <w:sz w:val="22"/>
          <w:szCs w:val="22"/>
          <w:lang w:val="es"/>
        </w:rPr>
        <w:t xml:space="preserve"> </w:t>
      </w:r>
      <w:r w:rsidRPr="73282652">
        <w:rPr>
          <w:sz w:val="22"/>
          <w:szCs w:val="22"/>
          <w:lang w:val="es"/>
        </w:rPr>
        <w:t>continua.</w:t>
      </w:r>
      <w:r w:rsidR="000F779F">
        <w:br/>
      </w:r>
      <w:r w:rsidRPr="73282652">
        <w:rPr>
          <w:sz w:val="22"/>
          <w:szCs w:val="22"/>
          <w:lang w:val="es"/>
        </w:rPr>
        <w:t>6.</w:t>
      </w:r>
      <w:r w:rsidR="00E57DFE">
        <w:rPr>
          <w:sz w:val="22"/>
          <w:szCs w:val="22"/>
          <w:lang w:val="es"/>
        </w:rPr>
        <w:t xml:space="preserve"> </w:t>
      </w:r>
      <w:r w:rsidRPr="73282652">
        <w:rPr>
          <w:sz w:val="22"/>
          <w:szCs w:val="22"/>
          <w:lang w:val="es"/>
        </w:rPr>
        <w:t>Evaluación</w:t>
      </w:r>
      <w:r w:rsidR="00E57DFE">
        <w:rPr>
          <w:sz w:val="22"/>
          <w:szCs w:val="22"/>
          <w:lang w:val="es"/>
        </w:rPr>
        <w:t xml:space="preserve"> </w:t>
      </w:r>
      <w:r w:rsidRPr="73282652">
        <w:rPr>
          <w:sz w:val="22"/>
          <w:szCs w:val="22"/>
          <w:lang w:val="es"/>
        </w:rPr>
        <w:t>integral</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decisiones</w:t>
      </w:r>
      <w:r w:rsidR="00E57DFE">
        <w:rPr>
          <w:sz w:val="22"/>
          <w:szCs w:val="22"/>
          <w:lang w:val="es"/>
        </w:rPr>
        <w:t xml:space="preserve"> </w:t>
      </w:r>
      <w:r w:rsidRPr="73282652">
        <w:rPr>
          <w:sz w:val="22"/>
          <w:szCs w:val="22"/>
          <w:lang w:val="es"/>
        </w:rPr>
        <w:t>gerenciales.</w:t>
      </w:r>
      <w:r w:rsidR="000F779F">
        <w:br/>
      </w:r>
      <w:r w:rsidRPr="73282652">
        <w:rPr>
          <w:sz w:val="22"/>
          <w:szCs w:val="22"/>
          <w:lang w:val="es"/>
        </w:rPr>
        <w:t>7.</w:t>
      </w:r>
      <w:r w:rsidR="00E57DFE">
        <w:rPr>
          <w:sz w:val="22"/>
          <w:szCs w:val="22"/>
          <w:lang w:val="es"/>
        </w:rPr>
        <w:t xml:space="preserve"> </w:t>
      </w:r>
      <w:r w:rsidRPr="73282652">
        <w:rPr>
          <w:sz w:val="22"/>
          <w:szCs w:val="22"/>
          <w:lang w:val="es"/>
        </w:rPr>
        <w:t>Integración</w:t>
      </w:r>
      <w:r w:rsidR="00E57DFE">
        <w:rPr>
          <w:sz w:val="22"/>
          <w:szCs w:val="22"/>
          <w:lang w:val="es"/>
        </w:rPr>
        <w:t xml:space="preserve"> </w:t>
      </w:r>
      <w:r w:rsidRPr="73282652">
        <w:rPr>
          <w:sz w:val="22"/>
          <w:szCs w:val="22"/>
          <w:lang w:val="es"/>
        </w:rPr>
        <w:t>de</w:t>
      </w:r>
      <w:r w:rsidR="00E57DFE">
        <w:rPr>
          <w:sz w:val="22"/>
          <w:szCs w:val="22"/>
          <w:lang w:val="es"/>
        </w:rPr>
        <w:t xml:space="preserve"> </w:t>
      </w:r>
      <w:r w:rsidRPr="73282652">
        <w:rPr>
          <w:sz w:val="22"/>
          <w:szCs w:val="22"/>
          <w:lang w:val="es"/>
        </w:rPr>
        <w:t>factores</w:t>
      </w:r>
      <w:r w:rsidR="00E57DFE">
        <w:rPr>
          <w:sz w:val="22"/>
          <w:szCs w:val="22"/>
          <w:lang w:val="es"/>
        </w:rPr>
        <w:t xml:space="preserve"> </w:t>
      </w:r>
      <w:r w:rsidRPr="73282652">
        <w:rPr>
          <w:sz w:val="22"/>
          <w:szCs w:val="22"/>
          <w:lang w:val="es"/>
        </w:rPr>
        <w:t>humanos</w:t>
      </w:r>
      <w:r w:rsidR="00E57DFE">
        <w:rPr>
          <w:sz w:val="22"/>
          <w:szCs w:val="22"/>
          <w:lang w:val="es"/>
        </w:rPr>
        <w:t xml:space="preserve"> </w:t>
      </w:r>
      <w:r w:rsidRPr="73282652">
        <w:rPr>
          <w:sz w:val="22"/>
          <w:szCs w:val="22"/>
          <w:lang w:val="es"/>
        </w:rPr>
        <w:t>y</w:t>
      </w:r>
      <w:r w:rsidR="00E57DFE">
        <w:rPr>
          <w:sz w:val="22"/>
          <w:szCs w:val="22"/>
          <w:lang w:val="es"/>
        </w:rPr>
        <w:t xml:space="preserve"> </w:t>
      </w:r>
      <w:r w:rsidRPr="73282652">
        <w:rPr>
          <w:sz w:val="22"/>
          <w:szCs w:val="22"/>
          <w:lang w:val="es"/>
        </w:rPr>
        <w:t>estructurales.</w:t>
      </w:r>
    </w:p>
    <w:p w:rsidR="00FB0AD0" w:rsidP="00C43EC5" w:rsidRDefault="00FB0AD0" w14:paraId="47F19A7E" w14:textId="77777777">
      <w:pPr>
        <w:spacing w:after="0"/>
        <w:jc w:val="both"/>
        <w:rPr>
          <w:rFonts w:eastAsiaTheme="minorEastAsia"/>
          <w:sz w:val="22"/>
          <w:szCs w:val="22"/>
          <w:lang w:val="es"/>
        </w:rPr>
      </w:pPr>
    </w:p>
    <w:p w:rsidR="000F779F" w:rsidP="00C43EC5" w:rsidRDefault="334E4D01" w14:paraId="5AE8086E" w14:textId="41B14003">
      <w:pPr>
        <w:jc w:val="both"/>
        <w:rPr>
          <w:rFonts w:eastAsiaTheme="minorEastAsia"/>
          <w:sz w:val="22"/>
          <w:szCs w:val="22"/>
          <w:lang w:val="es"/>
        </w:rPr>
      </w:pPr>
      <w:r w:rsidRPr="73282652">
        <w:rPr>
          <w:rFonts w:eastAsiaTheme="minorEastAsia"/>
          <w:sz w:val="22"/>
          <w:szCs w:val="22"/>
          <w:lang w:val="es"/>
        </w:rPr>
        <w:t>Aunque</w:t>
      </w:r>
      <w:r w:rsidR="00E57DFE">
        <w:rPr>
          <w:rFonts w:eastAsiaTheme="minorEastAsia"/>
          <w:sz w:val="22"/>
          <w:szCs w:val="22"/>
          <w:lang w:val="es"/>
        </w:rPr>
        <w:t xml:space="preserve"> </w:t>
      </w:r>
      <w:r w:rsidRPr="73282652">
        <w:rPr>
          <w:rFonts w:eastAsiaTheme="minorEastAsia"/>
          <w:sz w:val="22"/>
          <w:szCs w:val="22"/>
          <w:lang w:val="es"/>
        </w:rPr>
        <w:t>la</w:t>
      </w:r>
      <w:r w:rsidR="00E57DFE">
        <w:rPr>
          <w:rFonts w:eastAsiaTheme="minorEastAsia"/>
          <w:sz w:val="22"/>
          <w:szCs w:val="22"/>
          <w:lang w:val="es"/>
        </w:rPr>
        <w:t xml:space="preserve"> </w:t>
      </w:r>
      <w:r w:rsidRPr="73282652">
        <w:rPr>
          <w:rFonts w:eastAsiaTheme="minorEastAsia"/>
          <w:sz w:val="22"/>
          <w:szCs w:val="22"/>
          <w:lang w:val="es"/>
        </w:rPr>
        <w:t>metáfora</w:t>
      </w:r>
      <w:r w:rsidR="00E57DFE">
        <w:rPr>
          <w:rFonts w:eastAsiaTheme="minorEastAsia"/>
          <w:sz w:val="22"/>
          <w:szCs w:val="22"/>
          <w:lang w:val="es"/>
        </w:rPr>
        <w:t xml:space="preserve"> </w:t>
      </w:r>
      <w:r w:rsidRPr="73282652">
        <w:rPr>
          <w:rFonts w:eastAsiaTheme="minorEastAsia"/>
          <w:sz w:val="22"/>
          <w:szCs w:val="22"/>
          <w:lang w:val="es"/>
        </w:rPr>
        <w:t>del</w:t>
      </w:r>
      <w:r w:rsidR="00E57DFE">
        <w:rPr>
          <w:rFonts w:eastAsiaTheme="minorEastAsia"/>
          <w:sz w:val="22"/>
          <w:szCs w:val="22"/>
          <w:lang w:val="es"/>
        </w:rPr>
        <w:t xml:space="preserve"> </w:t>
      </w:r>
      <w:r w:rsidRPr="73282652">
        <w:rPr>
          <w:rFonts w:eastAsiaTheme="minorEastAsia"/>
          <w:sz w:val="22"/>
          <w:szCs w:val="22"/>
          <w:lang w:val="es"/>
        </w:rPr>
        <w:t>queso</w:t>
      </w:r>
      <w:r w:rsidR="00E57DFE">
        <w:rPr>
          <w:rFonts w:eastAsiaTheme="minorEastAsia"/>
          <w:sz w:val="22"/>
          <w:szCs w:val="22"/>
          <w:lang w:val="es"/>
        </w:rPr>
        <w:t xml:space="preserve"> </w:t>
      </w:r>
      <w:r w:rsidRPr="73282652">
        <w:rPr>
          <w:rFonts w:eastAsiaTheme="minorEastAsia"/>
          <w:sz w:val="22"/>
          <w:szCs w:val="22"/>
          <w:lang w:val="es"/>
        </w:rPr>
        <w:t>suizo</w:t>
      </w:r>
      <w:r w:rsidR="00E57DFE">
        <w:rPr>
          <w:rFonts w:eastAsiaTheme="minorEastAsia"/>
          <w:sz w:val="22"/>
          <w:szCs w:val="22"/>
          <w:lang w:val="es"/>
        </w:rPr>
        <w:t xml:space="preserve"> </w:t>
      </w:r>
      <w:r w:rsidRPr="73282652">
        <w:rPr>
          <w:rFonts w:eastAsiaTheme="minorEastAsia"/>
          <w:sz w:val="22"/>
          <w:szCs w:val="22"/>
          <w:lang w:val="es"/>
        </w:rPr>
        <w:t>ha</w:t>
      </w:r>
      <w:r w:rsidR="00E57DFE">
        <w:rPr>
          <w:rFonts w:eastAsiaTheme="minorEastAsia"/>
          <w:sz w:val="22"/>
          <w:szCs w:val="22"/>
          <w:lang w:val="es"/>
        </w:rPr>
        <w:t xml:space="preserve"> </w:t>
      </w:r>
      <w:r w:rsidRPr="73282652">
        <w:rPr>
          <w:rFonts w:eastAsiaTheme="minorEastAsia"/>
          <w:sz w:val="22"/>
          <w:szCs w:val="22"/>
          <w:lang w:val="es"/>
        </w:rPr>
        <w:t>sido</w:t>
      </w:r>
      <w:r w:rsidR="00E57DFE">
        <w:rPr>
          <w:rFonts w:eastAsiaTheme="minorEastAsia"/>
          <w:sz w:val="22"/>
          <w:szCs w:val="22"/>
          <w:lang w:val="es"/>
        </w:rPr>
        <w:t xml:space="preserve"> </w:t>
      </w:r>
      <w:r w:rsidRPr="73282652">
        <w:rPr>
          <w:rFonts w:eastAsiaTheme="minorEastAsia"/>
          <w:sz w:val="22"/>
          <w:szCs w:val="22"/>
          <w:lang w:val="es"/>
        </w:rPr>
        <w:t>objeto</w:t>
      </w:r>
      <w:r w:rsidR="00E57DFE">
        <w:rPr>
          <w:rFonts w:eastAsiaTheme="minorEastAsia"/>
          <w:sz w:val="22"/>
          <w:szCs w:val="22"/>
          <w:lang w:val="es"/>
        </w:rPr>
        <w:t xml:space="preserve"> </w:t>
      </w:r>
      <w:r w:rsidRPr="73282652">
        <w:rPr>
          <w:rFonts w:eastAsiaTheme="minorEastAsia"/>
          <w:sz w:val="22"/>
          <w:szCs w:val="22"/>
          <w:lang w:val="es"/>
        </w:rPr>
        <w:t>de</w:t>
      </w:r>
      <w:r w:rsidR="00E57DFE">
        <w:rPr>
          <w:rFonts w:eastAsiaTheme="minorEastAsia"/>
          <w:sz w:val="22"/>
          <w:szCs w:val="22"/>
          <w:lang w:val="es"/>
        </w:rPr>
        <w:t xml:space="preserve"> </w:t>
      </w:r>
      <w:r w:rsidRPr="73282652">
        <w:rPr>
          <w:rFonts w:eastAsiaTheme="minorEastAsia"/>
          <w:sz w:val="22"/>
          <w:szCs w:val="22"/>
          <w:lang w:val="es"/>
        </w:rPr>
        <w:t>debate</w:t>
      </w:r>
      <w:r w:rsidR="00E57DFE">
        <w:rPr>
          <w:rFonts w:eastAsiaTheme="minorEastAsia"/>
          <w:sz w:val="22"/>
          <w:szCs w:val="22"/>
          <w:lang w:val="es"/>
        </w:rPr>
        <w:t xml:space="preserve"> </w:t>
      </w:r>
      <w:r w:rsidRPr="73282652">
        <w:rPr>
          <w:rFonts w:eastAsiaTheme="minorEastAsia"/>
          <w:sz w:val="22"/>
          <w:szCs w:val="22"/>
          <w:lang w:val="es"/>
        </w:rPr>
        <w:t>por</w:t>
      </w:r>
      <w:r w:rsidR="00E57DFE">
        <w:rPr>
          <w:rFonts w:eastAsiaTheme="minorEastAsia"/>
          <w:sz w:val="22"/>
          <w:szCs w:val="22"/>
          <w:lang w:val="es"/>
        </w:rPr>
        <w:t xml:space="preserve"> </w:t>
      </w:r>
      <w:r w:rsidRPr="73282652">
        <w:rPr>
          <w:rFonts w:eastAsiaTheme="minorEastAsia"/>
          <w:sz w:val="22"/>
          <w:szCs w:val="22"/>
          <w:lang w:val="es"/>
        </w:rPr>
        <w:t>su</w:t>
      </w:r>
      <w:r w:rsidR="00E57DFE">
        <w:rPr>
          <w:rFonts w:eastAsiaTheme="minorEastAsia"/>
          <w:sz w:val="22"/>
          <w:szCs w:val="22"/>
          <w:lang w:val="es"/>
        </w:rPr>
        <w:t xml:space="preserve"> </w:t>
      </w:r>
      <w:r w:rsidRPr="73282652">
        <w:rPr>
          <w:rFonts w:eastAsiaTheme="minorEastAsia"/>
          <w:sz w:val="22"/>
          <w:szCs w:val="22"/>
          <w:lang w:val="es"/>
        </w:rPr>
        <w:t>aparente</w:t>
      </w:r>
      <w:r w:rsidR="00E57DFE">
        <w:rPr>
          <w:rFonts w:eastAsiaTheme="minorEastAsia"/>
          <w:sz w:val="22"/>
          <w:szCs w:val="22"/>
          <w:lang w:val="es"/>
        </w:rPr>
        <w:t xml:space="preserve"> </w:t>
      </w:r>
      <w:r w:rsidRPr="73282652">
        <w:rPr>
          <w:rFonts w:eastAsiaTheme="minorEastAsia"/>
          <w:sz w:val="22"/>
          <w:szCs w:val="22"/>
          <w:lang w:val="es"/>
        </w:rPr>
        <w:t>simplificación</w:t>
      </w:r>
      <w:r w:rsidR="00E57DFE">
        <w:rPr>
          <w:rFonts w:eastAsiaTheme="minorEastAsia"/>
          <w:sz w:val="22"/>
          <w:szCs w:val="22"/>
          <w:lang w:val="es"/>
        </w:rPr>
        <w:t xml:space="preserve"> </w:t>
      </w:r>
      <w:r w:rsidRPr="73282652">
        <w:rPr>
          <w:rFonts w:eastAsiaTheme="minorEastAsia"/>
          <w:sz w:val="22"/>
          <w:szCs w:val="22"/>
          <w:lang w:val="es"/>
        </w:rPr>
        <w:t>gráfica,</w:t>
      </w:r>
      <w:r w:rsidR="00E57DFE">
        <w:rPr>
          <w:rFonts w:eastAsiaTheme="minorEastAsia"/>
          <w:sz w:val="22"/>
          <w:szCs w:val="22"/>
          <w:lang w:val="es"/>
        </w:rPr>
        <w:t xml:space="preserve"> </w:t>
      </w:r>
      <w:r w:rsidRPr="73282652">
        <w:rPr>
          <w:rFonts w:eastAsiaTheme="minorEastAsia"/>
          <w:sz w:val="22"/>
          <w:szCs w:val="22"/>
          <w:lang w:val="es"/>
        </w:rPr>
        <w:t>su</w:t>
      </w:r>
      <w:r w:rsidR="00E57DFE">
        <w:rPr>
          <w:rFonts w:eastAsiaTheme="minorEastAsia"/>
          <w:sz w:val="22"/>
          <w:szCs w:val="22"/>
          <w:lang w:val="es"/>
        </w:rPr>
        <w:t xml:space="preserve"> </w:t>
      </w:r>
      <w:r w:rsidRPr="73282652">
        <w:rPr>
          <w:rFonts w:eastAsiaTheme="minorEastAsia"/>
          <w:sz w:val="22"/>
          <w:szCs w:val="22"/>
          <w:lang w:val="es"/>
        </w:rPr>
        <w:t>valor</w:t>
      </w:r>
      <w:r w:rsidR="00E57DFE">
        <w:rPr>
          <w:rFonts w:eastAsiaTheme="minorEastAsia"/>
          <w:sz w:val="22"/>
          <w:szCs w:val="22"/>
          <w:lang w:val="es"/>
        </w:rPr>
        <w:t xml:space="preserve"> </w:t>
      </w:r>
      <w:r w:rsidRPr="73282652">
        <w:rPr>
          <w:rFonts w:eastAsiaTheme="minorEastAsia"/>
          <w:sz w:val="22"/>
          <w:szCs w:val="22"/>
          <w:lang w:val="es"/>
        </w:rPr>
        <w:t>explicativo</w:t>
      </w:r>
      <w:r w:rsidR="00E57DFE">
        <w:rPr>
          <w:rFonts w:eastAsiaTheme="minorEastAsia"/>
          <w:sz w:val="22"/>
          <w:szCs w:val="22"/>
          <w:lang w:val="es"/>
        </w:rPr>
        <w:t xml:space="preserve"> </w:t>
      </w:r>
      <w:r w:rsidRPr="73282652">
        <w:rPr>
          <w:rFonts w:eastAsiaTheme="minorEastAsia"/>
          <w:sz w:val="22"/>
          <w:szCs w:val="22"/>
          <w:lang w:val="es"/>
        </w:rPr>
        <w:t>y</w:t>
      </w:r>
      <w:r w:rsidR="00E57DFE">
        <w:rPr>
          <w:rFonts w:eastAsiaTheme="minorEastAsia"/>
          <w:sz w:val="22"/>
          <w:szCs w:val="22"/>
          <w:lang w:val="es"/>
        </w:rPr>
        <w:t xml:space="preserve"> </w:t>
      </w:r>
      <w:r w:rsidRPr="73282652">
        <w:rPr>
          <w:rFonts w:eastAsiaTheme="minorEastAsia"/>
          <w:sz w:val="22"/>
          <w:szCs w:val="22"/>
          <w:lang w:val="es"/>
        </w:rPr>
        <w:t>pedagógico</w:t>
      </w:r>
      <w:r w:rsidR="00E57DFE">
        <w:rPr>
          <w:rFonts w:eastAsiaTheme="minorEastAsia"/>
          <w:sz w:val="22"/>
          <w:szCs w:val="22"/>
          <w:lang w:val="es"/>
        </w:rPr>
        <w:t xml:space="preserve"> </w:t>
      </w:r>
      <w:r w:rsidRPr="73282652">
        <w:rPr>
          <w:rFonts w:eastAsiaTheme="minorEastAsia"/>
          <w:sz w:val="22"/>
          <w:szCs w:val="22"/>
          <w:lang w:val="es"/>
        </w:rPr>
        <w:t>sigue</w:t>
      </w:r>
      <w:r w:rsidR="00E57DFE">
        <w:rPr>
          <w:rFonts w:eastAsiaTheme="minorEastAsia"/>
          <w:sz w:val="22"/>
          <w:szCs w:val="22"/>
          <w:lang w:val="es"/>
        </w:rPr>
        <w:t xml:space="preserve"> </w:t>
      </w:r>
      <w:r w:rsidRPr="73282652">
        <w:rPr>
          <w:rFonts w:eastAsiaTheme="minorEastAsia"/>
          <w:sz w:val="22"/>
          <w:szCs w:val="22"/>
          <w:lang w:val="es"/>
        </w:rPr>
        <w:t>siendo</w:t>
      </w:r>
      <w:r w:rsidR="00E57DFE">
        <w:rPr>
          <w:rFonts w:eastAsiaTheme="minorEastAsia"/>
          <w:sz w:val="22"/>
          <w:szCs w:val="22"/>
          <w:lang w:val="es"/>
        </w:rPr>
        <w:t xml:space="preserve"> </w:t>
      </w:r>
      <w:r w:rsidRPr="73282652">
        <w:rPr>
          <w:rFonts w:eastAsiaTheme="minorEastAsia"/>
          <w:sz w:val="22"/>
          <w:szCs w:val="22"/>
          <w:lang w:val="es"/>
        </w:rPr>
        <w:t>ampliamente</w:t>
      </w:r>
      <w:r w:rsidR="00E57DFE">
        <w:rPr>
          <w:rFonts w:eastAsiaTheme="minorEastAsia"/>
          <w:sz w:val="22"/>
          <w:szCs w:val="22"/>
          <w:lang w:val="es"/>
        </w:rPr>
        <w:t xml:space="preserve"> </w:t>
      </w:r>
      <w:r w:rsidRPr="73282652">
        <w:rPr>
          <w:rFonts w:eastAsiaTheme="minorEastAsia"/>
          <w:sz w:val="22"/>
          <w:szCs w:val="22"/>
          <w:lang w:val="es"/>
        </w:rPr>
        <w:t>reconocido</w:t>
      </w:r>
      <w:r w:rsidR="00E57DFE">
        <w:rPr>
          <w:rFonts w:eastAsiaTheme="minorEastAsia"/>
          <w:sz w:val="22"/>
          <w:szCs w:val="22"/>
          <w:lang w:val="es"/>
        </w:rPr>
        <w:t xml:space="preserve"> </w:t>
      </w:r>
      <w:r w:rsidRPr="73282652">
        <w:rPr>
          <w:rFonts w:eastAsiaTheme="minorEastAsia"/>
          <w:sz w:val="22"/>
          <w:szCs w:val="22"/>
          <w:lang w:val="es"/>
        </w:rPr>
        <w:t>en</w:t>
      </w:r>
      <w:r w:rsidR="00E57DFE">
        <w:rPr>
          <w:rFonts w:eastAsiaTheme="minorEastAsia"/>
          <w:sz w:val="22"/>
          <w:szCs w:val="22"/>
          <w:lang w:val="es"/>
        </w:rPr>
        <w:t xml:space="preserve"> </w:t>
      </w:r>
      <w:r w:rsidRPr="73282652">
        <w:rPr>
          <w:rFonts w:eastAsiaTheme="minorEastAsia"/>
          <w:sz w:val="22"/>
          <w:szCs w:val="22"/>
          <w:lang w:val="es"/>
        </w:rPr>
        <w:t>la</w:t>
      </w:r>
      <w:r w:rsidR="00E57DFE">
        <w:rPr>
          <w:rFonts w:eastAsiaTheme="minorEastAsia"/>
          <w:sz w:val="22"/>
          <w:szCs w:val="22"/>
          <w:lang w:val="es"/>
        </w:rPr>
        <w:t xml:space="preserve"> </w:t>
      </w:r>
      <w:r w:rsidRPr="73282652">
        <w:rPr>
          <w:rFonts w:eastAsiaTheme="minorEastAsia"/>
          <w:sz w:val="22"/>
          <w:szCs w:val="22"/>
          <w:lang w:val="es"/>
        </w:rPr>
        <w:t>literatura</w:t>
      </w:r>
      <w:r w:rsidR="00E57DFE">
        <w:rPr>
          <w:rFonts w:eastAsiaTheme="minorEastAsia"/>
          <w:sz w:val="22"/>
          <w:szCs w:val="22"/>
          <w:lang w:val="es"/>
        </w:rPr>
        <w:t xml:space="preserve"> </w:t>
      </w:r>
      <w:r w:rsidRPr="73282652">
        <w:rPr>
          <w:rFonts w:eastAsiaTheme="minorEastAsia"/>
          <w:sz w:val="22"/>
          <w:szCs w:val="22"/>
          <w:lang w:val="es"/>
        </w:rPr>
        <w:t>académica.</w:t>
      </w:r>
      <w:r w:rsidR="00E57DFE">
        <w:rPr>
          <w:rFonts w:eastAsiaTheme="minorEastAsia"/>
          <w:sz w:val="22"/>
          <w:szCs w:val="22"/>
          <w:lang w:val="es"/>
        </w:rPr>
        <w:t xml:space="preserve"> </w:t>
      </w:r>
      <w:r w:rsidRPr="73282652">
        <w:rPr>
          <w:rFonts w:eastAsiaTheme="minorEastAsia"/>
          <w:sz w:val="22"/>
          <w:szCs w:val="22"/>
          <w:lang w:val="es"/>
        </w:rPr>
        <w:t>Su</w:t>
      </w:r>
      <w:r w:rsidR="00E57DFE">
        <w:rPr>
          <w:rFonts w:eastAsiaTheme="minorEastAsia"/>
          <w:sz w:val="22"/>
          <w:szCs w:val="22"/>
          <w:lang w:val="es"/>
        </w:rPr>
        <w:t xml:space="preserve"> </w:t>
      </w:r>
      <w:r w:rsidRPr="73282652">
        <w:rPr>
          <w:rFonts w:eastAsiaTheme="minorEastAsia"/>
          <w:sz w:val="22"/>
          <w:szCs w:val="22"/>
          <w:lang w:val="es"/>
        </w:rPr>
        <w:t>fortaleza</w:t>
      </w:r>
      <w:r w:rsidR="00E57DFE">
        <w:rPr>
          <w:rFonts w:eastAsiaTheme="minorEastAsia"/>
          <w:sz w:val="22"/>
          <w:szCs w:val="22"/>
          <w:lang w:val="es"/>
        </w:rPr>
        <w:t xml:space="preserve"> </w:t>
      </w:r>
      <w:r w:rsidRPr="73282652">
        <w:rPr>
          <w:rFonts w:eastAsiaTheme="minorEastAsia"/>
          <w:sz w:val="22"/>
          <w:szCs w:val="22"/>
          <w:lang w:val="es"/>
        </w:rPr>
        <w:t>radica</w:t>
      </w:r>
      <w:r w:rsidR="00E57DFE">
        <w:rPr>
          <w:rFonts w:eastAsiaTheme="minorEastAsia"/>
          <w:sz w:val="22"/>
          <w:szCs w:val="22"/>
          <w:lang w:val="es"/>
        </w:rPr>
        <w:t xml:space="preserve"> </w:t>
      </w:r>
      <w:r w:rsidRPr="73282652">
        <w:rPr>
          <w:rFonts w:eastAsiaTheme="minorEastAsia"/>
          <w:sz w:val="22"/>
          <w:szCs w:val="22"/>
          <w:lang w:val="es"/>
        </w:rPr>
        <w:t>en</w:t>
      </w:r>
      <w:r w:rsidR="00E57DFE">
        <w:rPr>
          <w:rFonts w:eastAsiaTheme="minorEastAsia"/>
          <w:sz w:val="22"/>
          <w:szCs w:val="22"/>
          <w:lang w:val="es"/>
        </w:rPr>
        <w:t xml:space="preserve"> </w:t>
      </w:r>
      <w:r w:rsidRPr="73282652">
        <w:rPr>
          <w:rFonts w:eastAsiaTheme="minorEastAsia"/>
          <w:sz w:val="22"/>
          <w:szCs w:val="22"/>
          <w:lang w:val="es"/>
        </w:rPr>
        <w:t>integrar</w:t>
      </w:r>
      <w:r w:rsidR="00E57DFE">
        <w:rPr>
          <w:rFonts w:eastAsiaTheme="minorEastAsia"/>
          <w:sz w:val="22"/>
          <w:szCs w:val="22"/>
          <w:lang w:val="es"/>
        </w:rPr>
        <w:t xml:space="preserve"> </w:t>
      </w:r>
      <w:r w:rsidRPr="73282652">
        <w:rPr>
          <w:rFonts w:eastAsiaTheme="minorEastAsia"/>
          <w:sz w:val="22"/>
          <w:szCs w:val="22"/>
          <w:lang w:val="es"/>
        </w:rPr>
        <w:t>dimensiones</w:t>
      </w:r>
      <w:r w:rsidR="00E57DFE">
        <w:rPr>
          <w:rFonts w:eastAsiaTheme="minorEastAsia"/>
          <w:sz w:val="22"/>
          <w:szCs w:val="22"/>
          <w:lang w:val="es"/>
        </w:rPr>
        <w:t xml:space="preserve"> </w:t>
      </w:r>
      <w:r w:rsidRPr="73282652">
        <w:rPr>
          <w:rFonts w:eastAsiaTheme="minorEastAsia"/>
          <w:sz w:val="22"/>
          <w:szCs w:val="22"/>
          <w:lang w:val="es"/>
        </w:rPr>
        <w:t>cognitivas,</w:t>
      </w:r>
      <w:r w:rsidR="00E57DFE">
        <w:rPr>
          <w:rFonts w:eastAsiaTheme="minorEastAsia"/>
          <w:sz w:val="22"/>
          <w:szCs w:val="22"/>
          <w:lang w:val="es"/>
        </w:rPr>
        <w:t xml:space="preserve"> </w:t>
      </w:r>
      <w:r w:rsidRPr="73282652">
        <w:rPr>
          <w:rFonts w:eastAsiaTheme="minorEastAsia"/>
          <w:sz w:val="22"/>
          <w:szCs w:val="22"/>
          <w:lang w:val="es"/>
        </w:rPr>
        <w:t>organizacionales</w:t>
      </w:r>
      <w:r w:rsidR="00E57DFE">
        <w:rPr>
          <w:rFonts w:eastAsiaTheme="minorEastAsia"/>
          <w:sz w:val="22"/>
          <w:szCs w:val="22"/>
          <w:lang w:val="es"/>
        </w:rPr>
        <w:t xml:space="preserve"> </w:t>
      </w:r>
      <w:r w:rsidRPr="73282652">
        <w:rPr>
          <w:rFonts w:eastAsiaTheme="minorEastAsia"/>
          <w:sz w:val="22"/>
          <w:szCs w:val="22"/>
          <w:lang w:val="es"/>
        </w:rPr>
        <w:t>y</w:t>
      </w:r>
      <w:r w:rsidR="00E57DFE">
        <w:rPr>
          <w:rFonts w:eastAsiaTheme="minorEastAsia"/>
          <w:sz w:val="22"/>
          <w:szCs w:val="22"/>
          <w:lang w:val="es"/>
        </w:rPr>
        <w:t xml:space="preserve"> </w:t>
      </w:r>
      <w:r w:rsidRPr="73282652">
        <w:rPr>
          <w:rFonts w:eastAsiaTheme="minorEastAsia"/>
          <w:sz w:val="22"/>
          <w:szCs w:val="22"/>
          <w:lang w:val="es"/>
        </w:rPr>
        <w:t>tecnológicas</w:t>
      </w:r>
      <w:r w:rsidR="00E57DFE">
        <w:rPr>
          <w:rFonts w:eastAsiaTheme="minorEastAsia"/>
          <w:sz w:val="22"/>
          <w:szCs w:val="22"/>
          <w:lang w:val="es"/>
        </w:rPr>
        <w:t xml:space="preserve"> </w:t>
      </w:r>
      <w:r w:rsidRPr="73282652">
        <w:rPr>
          <w:rFonts w:eastAsiaTheme="minorEastAsia"/>
          <w:sz w:val="22"/>
          <w:szCs w:val="22"/>
          <w:lang w:val="es"/>
        </w:rPr>
        <w:t>en</w:t>
      </w:r>
      <w:r w:rsidR="00E57DFE">
        <w:rPr>
          <w:rFonts w:eastAsiaTheme="minorEastAsia"/>
          <w:sz w:val="22"/>
          <w:szCs w:val="22"/>
          <w:lang w:val="es"/>
        </w:rPr>
        <w:t xml:space="preserve"> </w:t>
      </w:r>
      <w:r w:rsidRPr="73282652">
        <w:rPr>
          <w:rFonts w:eastAsiaTheme="minorEastAsia"/>
          <w:sz w:val="22"/>
          <w:szCs w:val="22"/>
          <w:lang w:val="es"/>
        </w:rPr>
        <w:t>un</w:t>
      </w:r>
      <w:r w:rsidR="00E57DFE">
        <w:rPr>
          <w:rFonts w:eastAsiaTheme="minorEastAsia"/>
          <w:sz w:val="22"/>
          <w:szCs w:val="22"/>
          <w:lang w:val="es"/>
        </w:rPr>
        <w:t xml:space="preserve"> </w:t>
      </w:r>
      <w:r w:rsidRPr="73282652">
        <w:rPr>
          <w:rFonts w:eastAsiaTheme="minorEastAsia"/>
          <w:sz w:val="22"/>
          <w:szCs w:val="22"/>
          <w:lang w:val="es"/>
        </w:rPr>
        <w:t>mismo</w:t>
      </w:r>
      <w:r w:rsidR="00E57DFE">
        <w:rPr>
          <w:rFonts w:eastAsiaTheme="minorEastAsia"/>
          <w:sz w:val="22"/>
          <w:szCs w:val="22"/>
          <w:lang w:val="es"/>
        </w:rPr>
        <w:t xml:space="preserve"> </w:t>
      </w:r>
      <w:r w:rsidRPr="73282652">
        <w:rPr>
          <w:rFonts w:eastAsiaTheme="minorEastAsia"/>
          <w:sz w:val="22"/>
          <w:szCs w:val="22"/>
          <w:lang w:val="es"/>
        </w:rPr>
        <w:t>marco</w:t>
      </w:r>
      <w:r w:rsidR="00E57DFE">
        <w:rPr>
          <w:rFonts w:eastAsiaTheme="minorEastAsia"/>
          <w:sz w:val="22"/>
          <w:szCs w:val="22"/>
          <w:lang w:val="es"/>
        </w:rPr>
        <w:t xml:space="preserve"> </w:t>
      </w:r>
      <w:r w:rsidRPr="73282652">
        <w:rPr>
          <w:rFonts w:eastAsiaTheme="minorEastAsia"/>
          <w:sz w:val="22"/>
          <w:szCs w:val="22"/>
          <w:lang w:val="es"/>
        </w:rPr>
        <w:t>analítico.</w:t>
      </w:r>
    </w:p>
    <w:p w:rsidRPr="00912881" w:rsidR="00912881" w:rsidP="00912881" w:rsidRDefault="334E4D01" w14:paraId="00450681" w14:textId="14595537">
      <w:pPr>
        <w:jc w:val="both"/>
        <w:rPr>
          <w:rFonts w:eastAsiaTheme="minorEastAsia"/>
          <w:sz w:val="22"/>
          <w:szCs w:val="22"/>
          <w:lang w:val="es"/>
        </w:rPr>
      </w:pPr>
      <w:r w:rsidRPr="00205C77">
        <w:rPr>
          <w:rFonts w:eastAsiaTheme="minorEastAsia"/>
          <w:sz w:val="22"/>
          <w:szCs w:val="22"/>
          <w:lang w:val="es"/>
        </w:rPr>
        <w:t>El</w:t>
      </w:r>
      <w:r w:rsidRPr="00205C77" w:rsidR="00E57DFE">
        <w:rPr>
          <w:rFonts w:eastAsiaTheme="minorEastAsia"/>
          <w:sz w:val="22"/>
          <w:szCs w:val="22"/>
          <w:lang w:val="es"/>
        </w:rPr>
        <w:t xml:space="preserve"> </w:t>
      </w:r>
      <w:r w:rsidRPr="00205C77">
        <w:rPr>
          <w:rFonts w:eastAsiaTheme="minorEastAsia"/>
          <w:sz w:val="22"/>
          <w:szCs w:val="22"/>
          <w:lang w:val="es"/>
        </w:rPr>
        <w:t>Modelo</w:t>
      </w:r>
      <w:r w:rsidRPr="00205C77" w:rsidR="00E57DFE">
        <w:rPr>
          <w:rFonts w:eastAsiaTheme="minorEastAsia"/>
          <w:sz w:val="22"/>
          <w:szCs w:val="22"/>
          <w:lang w:val="es"/>
        </w:rPr>
        <w:t xml:space="preserve"> </w:t>
      </w:r>
      <w:r w:rsidRPr="00205C77">
        <w:rPr>
          <w:rFonts w:eastAsiaTheme="minorEastAsia"/>
          <w:sz w:val="22"/>
          <w:szCs w:val="22"/>
          <w:lang w:val="es"/>
        </w:rPr>
        <w:t>del</w:t>
      </w:r>
      <w:r w:rsidRPr="00205C77" w:rsidR="00E57DFE">
        <w:rPr>
          <w:rFonts w:eastAsiaTheme="minorEastAsia"/>
          <w:sz w:val="22"/>
          <w:szCs w:val="22"/>
          <w:lang w:val="es"/>
        </w:rPr>
        <w:t xml:space="preserve"> </w:t>
      </w:r>
      <w:r w:rsidRPr="00205C77">
        <w:rPr>
          <w:rFonts w:eastAsiaTheme="minorEastAsia"/>
          <w:sz w:val="22"/>
          <w:szCs w:val="22"/>
          <w:lang w:val="es"/>
        </w:rPr>
        <w:t>Queso</w:t>
      </w:r>
      <w:r w:rsidRPr="00205C77" w:rsidR="00E57DFE">
        <w:rPr>
          <w:rFonts w:eastAsiaTheme="minorEastAsia"/>
          <w:sz w:val="22"/>
          <w:szCs w:val="22"/>
          <w:lang w:val="es"/>
        </w:rPr>
        <w:t xml:space="preserve"> </w:t>
      </w:r>
      <w:r w:rsidRPr="00205C77">
        <w:rPr>
          <w:rFonts w:eastAsiaTheme="minorEastAsia"/>
          <w:sz w:val="22"/>
          <w:szCs w:val="22"/>
          <w:lang w:val="es"/>
        </w:rPr>
        <w:t>Suizo</w:t>
      </w:r>
      <w:r w:rsidRPr="00205C77" w:rsidR="00E57DFE">
        <w:rPr>
          <w:rFonts w:eastAsiaTheme="minorEastAsia"/>
          <w:sz w:val="22"/>
          <w:szCs w:val="22"/>
          <w:lang w:val="es"/>
        </w:rPr>
        <w:t xml:space="preserve"> </w:t>
      </w:r>
      <w:r w:rsidRPr="00205C77">
        <w:rPr>
          <w:rFonts w:eastAsiaTheme="minorEastAsia"/>
          <w:sz w:val="22"/>
          <w:szCs w:val="22"/>
          <w:lang w:val="es"/>
        </w:rPr>
        <w:t>ofrece</w:t>
      </w:r>
      <w:r w:rsidRPr="00205C77" w:rsidR="00E57DFE">
        <w:rPr>
          <w:rFonts w:eastAsiaTheme="minorEastAsia"/>
          <w:sz w:val="22"/>
          <w:szCs w:val="22"/>
          <w:lang w:val="es"/>
        </w:rPr>
        <w:t xml:space="preserve"> </w:t>
      </w:r>
      <w:r w:rsidRPr="00205C77">
        <w:rPr>
          <w:rFonts w:eastAsiaTheme="minorEastAsia"/>
          <w:sz w:val="22"/>
          <w:szCs w:val="22"/>
          <w:lang w:val="es"/>
        </w:rPr>
        <w:t>una</w:t>
      </w:r>
      <w:r w:rsidRPr="00205C77" w:rsidR="00E57DFE">
        <w:rPr>
          <w:rFonts w:eastAsiaTheme="minorEastAsia"/>
          <w:sz w:val="22"/>
          <w:szCs w:val="22"/>
          <w:lang w:val="es"/>
        </w:rPr>
        <w:t xml:space="preserve"> </w:t>
      </w:r>
      <w:r w:rsidRPr="00205C77">
        <w:rPr>
          <w:rFonts w:eastAsiaTheme="minorEastAsia"/>
          <w:sz w:val="22"/>
          <w:szCs w:val="22"/>
          <w:lang w:val="es"/>
        </w:rPr>
        <w:t>teoría</w:t>
      </w:r>
      <w:r w:rsidRPr="00205C77" w:rsidR="00E57DFE">
        <w:rPr>
          <w:rFonts w:eastAsiaTheme="minorEastAsia"/>
          <w:sz w:val="22"/>
          <w:szCs w:val="22"/>
          <w:lang w:val="es"/>
        </w:rPr>
        <w:t xml:space="preserve"> </w:t>
      </w:r>
      <w:r w:rsidRPr="00205C77">
        <w:rPr>
          <w:rFonts w:eastAsiaTheme="minorEastAsia"/>
          <w:sz w:val="22"/>
          <w:szCs w:val="22"/>
          <w:lang w:val="es"/>
        </w:rPr>
        <w:t>integral</w:t>
      </w:r>
      <w:r w:rsidRPr="00205C77" w:rsidR="00E57DFE">
        <w:rPr>
          <w:rFonts w:eastAsiaTheme="minorEastAsia"/>
          <w:sz w:val="22"/>
          <w:szCs w:val="22"/>
          <w:lang w:val="es"/>
        </w:rPr>
        <w:t xml:space="preserve"> </w:t>
      </w:r>
      <w:r w:rsidRPr="00205C77">
        <w:rPr>
          <w:rFonts w:eastAsiaTheme="minorEastAsia"/>
          <w:sz w:val="22"/>
          <w:szCs w:val="22"/>
          <w:lang w:val="es"/>
        </w:rPr>
        <w:t>del</w:t>
      </w:r>
      <w:r w:rsidRPr="00205C77" w:rsidR="00E57DFE">
        <w:rPr>
          <w:rFonts w:eastAsiaTheme="minorEastAsia"/>
          <w:sz w:val="22"/>
          <w:szCs w:val="22"/>
          <w:lang w:val="es"/>
        </w:rPr>
        <w:t xml:space="preserve"> </w:t>
      </w:r>
      <w:r w:rsidRPr="00205C77">
        <w:rPr>
          <w:rFonts w:eastAsiaTheme="minorEastAsia"/>
          <w:sz w:val="22"/>
          <w:szCs w:val="22"/>
          <w:lang w:val="es"/>
        </w:rPr>
        <w:t>accidente</w:t>
      </w:r>
      <w:r w:rsidRPr="00205C77" w:rsidR="00E57DFE">
        <w:rPr>
          <w:rFonts w:eastAsiaTheme="minorEastAsia"/>
          <w:sz w:val="22"/>
          <w:szCs w:val="22"/>
          <w:lang w:val="es"/>
        </w:rPr>
        <w:t xml:space="preserve"> </w:t>
      </w:r>
      <w:r w:rsidRPr="00205C77">
        <w:rPr>
          <w:rFonts w:eastAsiaTheme="minorEastAsia"/>
          <w:sz w:val="22"/>
          <w:szCs w:val="22"/>
          <w:lang w:val="es"/>
        </w:rPr>
        <w:t>organizacional.</w:t>
      </w:r>
      <w:r w:rsidRPr="00205C77" w:rsidR="00E57DFE">
        <w:rPr>
          <w:rFonts w:eastAsiaTheme="minorEastAsia"/>
          <w:sz w:val="22"/>
          <w:szCs w:val="22"/>
          <w:lang w:val="es"/>
        </w:rPr>
        <w:t xml:space="preserve"> </w:t>
      </w:r>
      <w:r w:rsidRPr="00205C77">
        <w:rPr>
          <w:rFonts w:eastAsiaTheme="minorEastAsia"/>
          <w:sz w:val="22"/>
          <w:szCs w:val="22"/>
          <w:lang w:val="es"/>
        </w:rPr>
        <w:t>Su</w:t>
      </w:r>
      <w:r w:rsidRPr="00205C77" w:rsidR="00E57DFE">
        <w:rPr>
          <w:rFonts w:eastAsiaTheme="minorEastAsia"/>
          <w:sz w:val="22"/>
          <w:szCs w:val="22"/>
          <w:lang w:val="es"/>
        </w:rPr>
        <w:t xml:space="preserve"> </w:t>
      </w:r>
      <w:r w:rsidRPr="00205C77">
        <w:rPr>
          <w:rFonts w:eastAsiaTheme="minorEastAsia"/>
          <w:sz w:val="22"/>
          <w:szCs w:val="22"/>
          <w:lang w:val="es"/>
        </w:rPr>
        <w:t>principal</w:t>
      </w:r>
      <w:r w:rsidRPr="00205C77" w:rsidR="00E57DFE">
        <w:rPr>
          <w:rFonts w:eastAsiaTheme="minorEastAsia"/>
          <w:sz w:val="22"/>
          <w:szCs w:val="22"/>
          <w:lang w:val="es"/>
        </w:rPr>
        <w:t xml:space="preserve"> </w:t>
      </w:r>
      <w:r w:rsidRPr="00205C77">
        <w:rPr>
          <w:rFonts w:eastAsiaTheme="minorEastAsia"/>
          <w:sz w:val="22"/>
          <w:szCs w:val="22"/>
          <w:lang w:val="es"/>
        </w:rPr>
        <w:t>contribución</w:t>
      </w:r>
      <w:r w:rsidRPr="00205C77" w:rsidR="00E57DFE">
        <w:rPr>
          <w:rFonts w:eastAsiaTheme="minorEastAsia"/>
          <w:sz w:val="22"/>
          <w:szCs w:val="22"/>
          <w:lang w:val="es"/>
        </w:rPr>
        <w:t xml:space="preserve"> </w:t>
      </w:r>
      <w:r w:rsidRPr="00205C77">
        <w:rPr>
          <w:rFonts w:eastAsiaTheme="minorEastAsia"/>
          <w:sz w:val="22"/>
          <w:szCs w:val="22"/>
          <w:lang w:val="es"/>
        </w:rPr>
        <w:t>consiste</w:t>
      </w:r>
      <w:r w:rsidRPr="00205C77" w:rsidR="00E57DFE">
        <w:rPr>
          <w:rFonts w:eastAsiaTheme="minorEastAsia"/>
          <w:sz w:val="22"/>
          <w:szCs w:val="22"/>
          <w:lang w:val="es"/>
        </w:rPr>
        <w:t xml:space="preserve"> </w:t>
      </w:r>
      <w:r w:rsidRPr="00205C77">
        <w:rPr>
          <w:rFonts w:eastAsiaTheme="minorEastAsia"/>
          <w:sz w:val="22"/>
          <w:szCs w:val="22"/>
          <w:lang w:val="es"/>
        </w:rPr>
        <w:t>en</w:t>
      </w:r>
      <w:r w:rsidRPr="00205C77" w:rsidR="00E57DFE">
        <w:rPr>
          <w:rFonts w:eastAsiaTheme="minorEastAsia"/>
          <w:sz w:val="22"/>
          <w:szCs w:val="22"/>
          <w:lang w:val="es"/>
        </w:rPr>
        <w:t xml:space="preserve"> </w:t>
      </w:r>
      <w:r w:rsidRPr="00205C77">
        <w:rPr>
          <w:rFonts w:eastAsiaTheme="minorEastAsia"/>
          <w:sz w:val="22"/>
          <w:szCs w:val="22"/>
          <w:lang w:val="es"/>
        </w:rPr>
        <w:t>demostrar</w:t>
      </w:r>
      <w:r w:rsidRPr="00205C77" w:rsidR="00E57DFE">
        <w:rPr>
          <w:rFonts w:eastAsiaTheme="minorEastAsia"/>
          <w:sz w:val="22"/>
          <w:szCs w:val="22"/>
          <w:lang w:val="es"/>
        </w:rPr>
        <w:t xml:space="preserve"> </w:t>
      </w:r>
      <w:r w:rsidRPr="00205C77">
        <w:rPr>
          <w:rFonts w:eastAsiaTheme="minorEastAsia"/>
          <w:sz w:val="22"/>
          <w:szCs w:val="22"/>
          <w:lang w:val="es"/>
        </w:rPr>
        <w:t>que</w:t>
      </w:r>
      <w:r w:rsidRPr="00205C77" w:rsidR="00E57DFE">
        <w:rPr>
          <w:rFonts w:eastAsiaTheme="minorEastAsia"/>
          <w:sz w:val="22"/>
          <w:szCs w:val="22"/>
          <w:lang w:val="es"/>
        </w:rPr>
        <w:t xml:space="preserve"> </w:t>
      </w:r>
      <w:r w:rsidRPr="00205C77">
        <w:rPr>
          <w:rFonts w:eastAsiaTheme="minorEastAsia"/>
          <w:sz w:val="22"/>
          <w:szCs w:val="22"/>
          <w:lang w:val="es"/>
        </w:rPr>
        <w:t>el</w:t>
      </w:r>
      <w:r w:rsidRPr="00205C77" w:rsidR="00E57DFE">
        <w:rPr>
          <w:rFonts w:eastAsiaTheme="minorEastAsia"/>
          <w:sz w:val="22"/>
          <w:szCs w:val="22"/>
          <w:lang w:val="es"/>
        </w:rPr>
        <w:t xml:space="preserve"> </w:t>
      </w:r>
      <w:r w:rsidRPr="00205C77">
        <w:rPr>
          <w:rFonts w:eastAsiaTheme="minorEastAsia"/>
          <w:sz w:val="22"/>
          <w:szCs w:val="22"/>
          <w:lang w:val="es"/>
        </w:rPr>
        <w:t>riesgo</w:t>
      </w:r>
      <w:r w:rsidRPr="00205C77" w:rsidR="00E57DFE">
        <w:rPr>
          <w:rFonts w:eastAsiaTheme="minorEastAsia"/>
          <w:sz w:val="22"/>
          <w:szCs w:val="22"/>
          <w:lang w:val="es"/>
        </w:rPr>
        <w:t xml:space="preserve"> </w:t>
      </w:r>
      <w:r w:rsidRPr="00205C77">
        <w:rPr>
          <w:rFonts w:eastAsiaTheme="minorEastAsia"/>
          <w:sz w:val="22"/>
          <w:szCs w:val="22"/>
          <w:lang w:val="es"/>
        </w:rPr>
        <w:t>es</w:t>
      </w:r>
      <w:r w:rsidRPr="00205C77" w:rsidR="00E57DFE">
        <w:rPr>
          <w:rFonts w:eastAsiaTheme="minorEastAsia"/>
          <w:sz w:val="22"/>
          <w:szCs w:val="22"/>
          <w:lang w:val="es"/>
        </w:rPr>
        <w:t xml:space="preserve"> </w:t>
      </w:r>
      <w:r w:rsidRPr="00205C77">
        <w:rPr>
          <w:rFonts w:eastAsiaTheme="minorEastAsia"/>
          <w:sz w:val="22"/>
          <w:szCs w:val="22"/>
          <w:lang w:val="es"/>
        </w:rPr>
        <w:t>una</w:t>
      </w:r>
      <w:r w:rsidRPr="00205C77" w:rsidR="00E57DFE">
        <w:rPr>
          <w:rFonts w:eastAsiaTheme="minorEastAsia"/>
          <w:sz w:val="22"/>
          <w:szCs w:val="22"/>
          <w:lang w:val="es"/>
        </w:rPr>
        <w:t xml:space="preserve"> </w:t>
      </w:r>
      <w:r w:rsidRPr="00205C77">
        <w:rPr>
          <w:rFonts w:eastAsiaTheme="minorEastAsia"/>
          <w:sz w:val="22"/>
          <w:szCs w:val="22"/>
          <w:lang w:val="es"/>
        </w:rPr>
        <w:t>propiedad</w:t>
      </w:r>
      <w:r w:rsidRPr="00205C77" w:rsidR="00E57DFE">
        <w:rPr>
          <w:rFonts w:eastAsiaTheme="minorEastAsia"/>
          <w:sz w:val="22"/>
          <w:szCs w:val="22"/>
          <w:lang w:val="es"/>
        </w:rPr>
        <w:t xml:space="preserve"> </w:t>
      </w:r>
      <w:r w:rsidRPr="00205C77">
        <w:rPr>
          <w:rFonts w:eastAsiaTheme="minorEastAsia"/>
          <w:sz w:val="22"/>
          <w:szCs w:val="22"/>
          <w:lang w:val="es"/>
        </w:rPr>
        <w:t>emergente</w:t>
      </w:r>
      <w:r w:rsidRPr="00205C77" w:rsidR="00E57DFE">
        <w:rPr>
          <w:rFonts w:eastAsiaTheme="minorEastAsia"/>
          <w:sz w:val="22"/>
          <w:szCs w:val="22"/>
          <w:lang w:val="es"/>
        </w:rPr>
        <w:t xml:space="preserve"> </w:t>
      </w:r>
      <w:r w:rsidRPr="00205C77">
        <w:rPr>
          <w:rFonts w:eastAsiaTheme="minorEastAsia"/>
          <w:sz w:val="22"/>
          <w:szCs w:val="22"/>
          <w:lang w:val="es"/>
        </w:rPr>
        <w:t>del</w:t>
      </w:r>
      <w:r w:rsidRPr="00205C77" w:rsidR="00E57DFE">
        <w:rPr>
          <w:rFonts w:eastAsiaTheme="minorEastAsia"/>
          <w:sz w:val="22"/>
          <w:szCs w:val="22"/>
          <w:lang w:val="es"/>
        </w:rPr>
        <w:t xml:space="preserve"> </w:t>
      </w:r>
      <w:r w:rsidRPr="00205C77">
        <w:rPr>
          <w:rFonts w:eastAsiaTheme="minorEastAsia"/>
          <w:sz w:val="22"/>
          <w:szCs w:val="22"/>
          <w:lang w:val="es"/>
        </w:rPr>
        <w:t>sistema</w:t>
      </w:r>
      <w:r w:rsidRPr="00205C77" w:rsidR="00E57DFE">
        <w:rPr>
          <w:rFonts w:eastAsiaTheme="minorEastAsia"/>
          <w:sz w:val="22"/>
          <w:szCs w:val="22"/>
          <w:lang w:val="es"/>
        </w:rPr>
        <w:t xml:space="preserve"> </w:t>
      </w:r>
      <w:r w:rsidRPr="00205C77">
        <w:rPr>
          <w:rFonts w:eastAsiaTheme="minorEastAsia"/>
          <w:sz w:val="22"/>
          <w:szCs w:val="22"/>
          <w:lang w:val="es"/>
        </w:rPr>
        <w:t>y</w:t>
      </w:r>
      <w:r w:rsidRPr="00205C77" w:rsidR="00E57DFE">
        <w:rPr>
          <w:rFonts w:eastAsiaTheme="minorEastAsia"/>
          <w:sz w:val="22"/>
          <w:szCs w:val="22"/>
          <w:lang w:val="es"/>
        </w:rPr>
        <w:t xml:space="preserve"> </w:t>
      </w:r>
      <w:r w:rsidRPr="00205C77">
        <w:rPr>
          <w:rFonts w:eastAsiaTheme="minorEastAsia"/>
          <w:sz w:val="22"/>
          <w:szCs w:val="22"/>
          <w:lang w:val="es"/>
        </w:rPr>
        <w:t>que</w:t>
      </w:r>
      <w:r w:rsidRPr="00205C77" w:rsidR="00E57DFE">
        <w:rPr>
          <w:rFonts w:eastAsiaTheme="minorEastAsia"/>
          <w:sz w:val="22"/>
          <w:szCs w:val="22"/>
          <w:lang w:val="es"/>
        </w:rPr>
        <w:t xml:space="preserve"> </w:t>
      </w:r>
      <w:r w:rsidRPr="00205C77">
        <w:rPr>
          <w:rFonts w:eastAsiaTheme="minorEastAsia"/>
          <w:sz w:val="22"/>
          <w:szCs w:val="22"/>
          <w:lang w:val="es"/>
        </w:rPr>
        <w:t>la</w:t>
      </w:r>
      <w:r w:rsidRPr="00205C77" w:rsidR="00E57DFE">
        <w:rPr>
          <w:rFonts w:eastAsiaTheme="minorEastAsia"/>
          <w:sz w:val="22"/>
          <w:szCs w:val="22"/>
          <w:lang w:val="es"/>
        </w:rPr>
        <w:t xml:space="preserve"> </w:t>
      </w:r>
      <w:r w:rsidRPr="00205C77">
        <w:rPr>
          <w:rFonts w:eastAsiaTheme="minorEastAsia"/>
          <w:sz w:val="22"/>
          <w:szCs w:val="22"/>
          <w:lang w:val="es"/>
        </w:rPr>
        <w:t>gestión</w:t>
      </w:r>
      <w:r w:rsidRPr="00205C77" w:rsidR="00E57DFE">
        <w:rPr>
          <w:rFonts w:eastAsiaTheme="minorEastAsia"/>
          <w:sz w:val="22"/>
          <w:szCs w:val="22"/>
          <w:lang w:val="es"/>
        </w:rPr>
        <w:t xml:space="preserve"> </w:t>
      </w:r>
      <w:r w:rsidRPr="00205C77">
        <w:rPr>
          <w:rFonts w:eastAsiaTheme="minorEastAsia"/>
          <w:sz w:val="22"/>
          <w:szCs w:val="22"/>
          <w:lang w:val="es"/>
        </w:rPr>
        <w:t>efectiva</w:t>
      </w:r>
      <w:r w:rsidRPr="00205C77" w:rsidR="00E57DFE">
        <w:rPr>
          <w:rFonts w:eastAsiaTheme="minorEastAsia"/>
          <w:sz w:val="22"/>
          <w:szCs w:val="22"/>
          <w:lang w:val="es"/>
        </w:rPr>
        <w:t xml:space="preserve"> </w:t>
      </w:r>
      <w:r w:rsidRPr="00205C77">
        <w:rPr>
          <w:rFonts w:eastAsiaTheme="minorEastAsia"/>
          <w:sz w:val="22"/>
          <w:szCs w:val="22"/>
          <w:lang w:val="es"/>
        </w:rPr>
        <w:t>debe</w:t>
      </w:r>
      <w:r w:rsidRPr="00205C77" w:rsidR="00E57DFE">
        <w:rPr>
          <w:rFonts w:eastAsiaTheme="minorEastAsia"/>
          <w:sz w:val="22"/>
          <w:szCs w:val="22"/>
          <w:lang w:val="es"/>
        </w:rPr>
        <w:t xml:space="preserve"> </w:t>
      </w:r>
      <w:r w:rsidRPr="00205C77">
        <w:rPr>
          <w:rFonts w:eastAsiaTheme="minorEastAsia"/>
          <w:sz w:val="22"/>
          <w:szCs w:val="22"/>
          <w:lang w:val="es"/>
        </w:rPr>
        <w:t>centrarse</w:t>
      </w:r>
      <w:r w:rsidRPr="00205C77" w:rsidR="00E57DFE">
        <w:rPr>
          <w:rFonts w:eastAsiaTheme="minorEastAsia"/>
          <w:sz w:val="22"/>
          <w:szCs w:val="22"/>
          <w:lang w:val="es"/>
        </w:rPr>
        <w:t xml:space="preserve"> </w:t>
      </w:r>
      <w:r w:rsidRPr="00205C77">
        <w:rPr>
          <w:rFonts w:eastAsiaTheme="minorEastAsia"/>
          <w:sz w:val="22"/>
          <w:szCs w:val="22"/>
          <w:lang w:val="es"/>
        </w:rPr>
        <w:t>en</w:t>
      </w:r>
      <w:r w:rsidRPr="00205C77" w:rsidR="00E57DFE">
        <w:rPr>
          <w:rFonts w:eastAsiaTheme="minorEastAsia"/>
          <w:sz w:val="22"/>
          <w:szCs w:val="22"/>
          <w:lang w:val="es"/>
        </w:rPr>
        <w:t xml:space="preserve"> </w:t>
      </w:r>
      <w:r w:rsidRPr="00205C77">
        <w:rPr>
          <w:rFonts w:eastAsiaTheme="minorEastAsia"/>
          <w:sz w:val="22"/>
          <w:szCs w:val="22"/>
          <w:lang w:val="es"/>
        </w:rPr>
        <w:t>el</w:t>
      </w:r>
      <w:r w:rsidRPr="00205C77" w:rsidR="00E57DFE">
        <w:rPr>
          <w:rFonts w:eastAsiaTheme="minorEastAsia"/>
          <w:sz w:val="22"/>
          <w:szCs w:val="22"/>
          <w:lang w:val="es"/>
        </w:rPr>
        <w:t xml:space="preserve"> </w:t>
      </w:r>
      <w:r w:rsidRPr="00205C77">
        <w:rPr>
          <w:rFonts w:eastAsiaTheme="minorEastAsia"/>
          <w:sz w:val="22"/>
          <w:szCs w:val="22"/>
          <w:lang w:val="es"/>
        </w:rPr>
        <w:t>fortalecimiento</w:t>
      </w:r>
      <w:r w:rsidRPr="00205C77" w:rsidR="00E57DFE">
        <w:rPr>
          <w:rFonts w:eastAsiaTheme="minorEastAsia"/>
          <w:sz w:val="22"/>
          <w:szCs w:val="22"/>
          <w:lang w:val="es"/>
        </w:rPr>
        <w:t xml:space="preserve"> </w:t>
      </w:r>
      <w:r w:rsidRPr="00205C77">
        <w:rPr>
          <w:rFonts w:eastAsiaTheme="minorEastAsia"/>
          <w:sz w:val="22"/>
          <w:szCs w:val="22"/>
          <w:lang w:val="es"/>
        </w:rPr>
        <w:t>estructural</w:t>
      </w:r>
      <w:r w:rsidRPr="00205C77" w:rsidR="00E57DFE">
        <w:rPr>
          <w:rFonts w:eastAsiaTheme="minorEastAsia"/>
          <w:sz w:val="22"/>
          <w:szCs w:val="22"/>
          <w:lang w:val="es"/>
        </w:rPr>
        <w:t xml:space="preserve"> </w:t>
      </w:r>
      <w:r w:rsidRPr="00205C77">
        <w:rPr>
          <w:rFonts w:eastAsiaTheme="minorEastAsia"/>
          <w:sz w:val="22"/>
          <w:szCs w:val="22"/>
          <w:lang w:val="es"/>
        </w:rPr>
        <w:t>de</w:t>
      </w:r>
      <w:r w:rsidRPr="00205C77" w:rsidR="00E57DFE">
        <w:rPr>
          <w:rFonts w:eastAsiaTheme="minorEastAsia"/>
          <w:sz w:val="22"/>
          <w:szCs w:val="22"/>
          <w:lang w:val="es"/>
        </w:rPr>
        <w:t xml:space="preserve"> </w:t>
      </w:r>
      <w:r w:rsidRPr="00205C77">
        <w:rPr>
          <w:rFonts w:eastAsiaTheme="minorEastAsia"/>
          <w:sz w:val="22"/>
          <w:szCs w:val="22"/>
          <w:lang w:val="es"/>
        </w:rPr>
        <w:t>las</w:t>
      </w:r>
      <w:r w:rsidRPr="00205C77" w:rsidR="00E57DFE">
        <w:rPr>
          <w:rFonts w:eastAsiaTheme="minorEastAsia"/>
          <w:sz w:val="22"/>
          <w:szCs w:val="22"/>
          <w:lang w:val="es"/>
        </w:rPr>
        <w:t xml:space="preserve"> </w:t>
      </w:r>
      <w:r w:rsidRPr="00205C77">
        <w:rPr>
          <w:rFonts w:eastAsiaTheme="minorEastAsia"/>
          <w:sz w:val="22"/>
          <w:szCs w:val="22"/>
          <w:lang w:val="es"/>
        </w:rPr>
        <w:t>defensas</w:t>
      </w:r>
      <w:r w:rsidRPr="00205C77" w:rsidR="00E57DFE">
        <w:rPr>
          <w:rFonts w:eastAsiaTheme="minorEastAsia"/>
          <w:sz w:val="22"/>
          <w:szCs w:val="22"/>
          <w:lang w:val="es"/>
        </w:rPr>
        <w:t xml:space="preserve"> </w:t>
      </w:r>
      <w:r w:rsidRPr="00205C77">
        <w:rPr>
          <w:rFonts w:eastAsiaTheme="minorEastAsia"/>
          <w:sz w:val="22"/>
          <w:szCs w:val="22"/>
          <w:lang w:val="es"/>
        </w:rPr>
        <w:t>organizacionales</w:t>
      </w:r>
      <w:r w:rsidRPr="00205C77" w:rsidR="00E57DFE">
        <w:rPr>
          <w:rFonts w:eastAsiaTheme="minorEastAsia"/>
          <w:sz w:val="22"/>
          <w:szCs w:val="22"/>
          <w:lang w:val="es"/>
        </w:rPr>
        <w:t xml:space="preserve"> </w:t>
      </w:r>
      <w:r w:rsidRPr="00205C77">
        <w:rPr>
          <w:rFonts w:eastAsiaTheme="minorEastAsia"/>
          <w:sz w:val="22"/>
          <w:szCs w:val="22"/>
          <w:lang w:val="es"/>
        </w:rPr>
        <w:t>más</w:t>
      </w:r>
      <w:r w:rsidRPr="00205C77" w:rsidR="00E57DFE">
        <w:rPr>
          <w:rFonts w:eastAsiaTheme="minorEastAsia"/>
          <w:sz w:val="22"/>
          <w:szCs w:val="22"/>
          <w:lang w:val="es"/>
        </w:rPr>
        <w:t xml:space="preserve"> </w:t>
      </w:r>
      <w:r w:rsidRPr="00205C77">
        <w:rPr>
          <w:rFonts w:eastAsiaTheme="minorEastAsia"/>
          <w:sz w:val="22"/>
          <w:szCs w:val="22"/>
          <w:lang w:val="es"/>
        </w:rPr>
        <w:t>que</w:t>
      </w:r>
      <w:r w:rsidRPr="00205C77" w:rsidR="00E57DFE">
        <w:rPr>
          <w:rFonts w:eastAsiaTheme="minorEastAsia"/>
          <w:sz w:val="22"/>
          <w:szCs w:val="22"/>
          <w:lang w:val="es"/>
        </w:rPr>
        <w:t xml:space="preserve"> </w:t>
      </w:r>
      <w:r w:rsidRPr="00205C77">
        <w:rPr>
          <w:rFonts w:eastAsiaTheme="minorEastAsia"/>
          <w:sz w:val="22"/>
          <w:szCs w:val="22"/>
          <w:lang w:val="es"/>
        </w:rPr>
        <w:t>en</w:t>
      </w:r>
      <w:r w:rsidRPr="00205C77" w:rsidR="00E57DFE">
        <w:rPr>
          <w:rFonts w:eastAsiaTheme="minorEastAsia"/>
          <w:sz w:val="22"/>
          <w:szCs w:val="22"/>
          <w:lang w:val="es"/>
        </w:rPr>
        <w:t xml:space="preserve"> </w:t>
      </w:r>
      <w:r w:rsidRPr="00205C77">
        <w:rPr>
          <w:rFonts w:eastAsiaTheme="minorEastAsia"/>
          <w:sz w:val="22"/>
          <w:szCs w:val="22"/>
          <w:lang w:val="es"/>
        </w:rPr>
        <w:t>la</w:t>
      </w:r>
      <w:r w:rsidRPr="00205C77" w:rsidR="00E57DFE">
        <w:rPr>
          <w:rFonts w:eastAsiaTheme="minorEastAsia"/>
          <w:sz w:val="22"/>
          <w:szCs w:val="22"/>
          <w:lang w:val="es"/>
        </w:rPr>
        <w:t xml:space="preserve"> </w:t>
      </w:r>
      <w:r w:rsidRPr="00205C77">
        <w:rPr>
          <w:rFonts w:eastAsiaTheme="minorEastAsia"/>
          <w:sz w:val="22"/>
          <w:szCs w:val="22"/>
          <w:lang w:val="es"/>
        </w:rPr>
        <w:t>sanción</w:t>
      </w:r>
      <w:r w:rsidRPr="00205C77" w:rsidR="00E57DFE">
        <w:rPr>
          <w:rFonts w:eastAsiaTheme="minorEastAsia"/>
          <w:sz w:val="22"/>
          <w:szCs w:val="22"/>
          <w:lang w:val="es"/>
        </w:rPr>
        <w:t xml:space="preserve"> </w:t>
      </w:r>
      <w:r w:rsidRPr="00205C77">
        <w:rPr>
          <w:rFonts w:eastAsiaTheme="minorEastAsia"/>
          <w:sz w:val="22"/>
          <w:szCs w:val="22"/>
          <w:lang w:val="es"/>
        </w:rPr>
        <w:t>individu</w:t>
      </w:r>
      <w:r w:rsidRPr="00205C77">
        <w:rPr>
          <w:rFonts w:ascii="Times New Roman" w:hAnsi="Times New Roman" w:eastAsia="Times New Roman" w:cs="Times New Roman"/>
          <w:color w:val="000000" w:themeColor="text1"/>
          <w:sz w:val="22"/>
          <w:szCs w:val="22"/>
          <w:lang w:val="es"/>
        </w:rPr>
        <w:t>al</w:t>
      </w:r>
      <w:r w:rsidRPr="00205C77" w:rsidR="00E57DFE">
        <w:rPr>
          <w:rFonts w:eastAsiaTheme="minorEastAsia"/>
          <w:sz w:val="22"/>
          <w:szCs w:val="22"/>
          <w:lang w:val="es"/>
        </w:rPr>
        <w:t xml:space="preserve"> </w:t>
      </w:r>
      <w:r w:rsidRPr="00205C77">
        <w:rPr>
          <w:rFonts w:eastAsiaTheme="minorEastAsia"/>
          <w:sz w:val="22"/>
          <w:szCs w:val="22"/>
          <w:lang w:val="es"/>
        </w:rPr>
        <w:t>del</w:t>
      </w:r>
      <w:r w:rsidRPr="00205C77" w:rsidR="00E57DFE">
        <w:rPr>
          <w:rFonts w:eastAsiaTheme="minorEastAsia"/>
          <w:sz w:val="22"/>
          <w:szCs w:val="22"/>
          <w:lang w:val="es"/>
        </w:rPr>
        <w:t xml:space="preserve"> </w:t>
      </w:r>
      <w:r w:rsidRPr="00205C77">
        <w:rPr>
          <w:rFonts w:eastAsiaTheme="minorEastAsia"/>
          <w:sz w:val="22"/>
          <w:szCs w:val="22"/>
          <w:lang w:val="es"/>
        </w:rPr>
        <w:t>error.</w:t>
      </w:r>
    </w:p>
    <w:p w:rsidRPr="001A0FD5" w:rsidR="008C0C32" w:rsidP="0026255A" w:rsidRDefault="008C0C32" w14:paraId="4A5E153B" w14:textId="0ADA0D56">
      <w:pPr>
        <w:pStyle w:val="Ttulo2"/>
        <w:numPr>
          <w:ilvl w:val="1"/>
          <w:numId w:val="6"/>
        </w:numPr>
        <w:ind w:left="567" w:firstLine="0"/>
        <w:rPr>
          <w:rFonts w:eastAsia="Times New Roman"/>
          <w:b/>
          <w:bCs/>
          <w:color w:val="auto"/>
          <w:sz w:val="22"/>
          <w:szCs w:val="22"/>
        </w:rPr>
      </w:pPr>
      <w:bookmarkStart w:name="_Toc225160600" w:id="7"/>
      <w:r w:rsidRPr="001A0FD5">
        <w:rPr>
          <w:rFonts w:eastAsia="Times New Roman"/>
          <w:b/>
          <w:bCs/>
          <w:color w:val="auto"/>
          <w:sz w:val="22"/>
          <w:szCs w:val="22"/>
        </w:rPr>
        <w:t>Gestión</w:t>
      </w:r>
      <w:r w:rsidRPr="001A0FD5" w:rsidR="00742BD1">
        <w:rPr>
          <w:rFonts w:eastAsia="Times New Roman"/>
          <w:b/>
          <w:bCs/>
          <w:color w:val="auto"/>
          <w:sz w:val="22"/>
          <w:szCs w:val="22"/>
        </w:rPr>
        <w:t xml:space="preserve"> </w:t>
      </w:r>
      <w:r w:rsidRPr="001A0FD5">
        <w:rPr>
          <w:rFonts w:eastAsia="Times New Roman"/>
          <w:b/>
          <w:bCs/>
          <w:color w:val="auto"/>
          <w:sz w:val="22"/>
          <w:szCs w:val="22"/>
        </w:rPr>
        <w:t>estratégica</w:t>
      </w:r>
      <w:r w:rsidRPr="001A0FD5" w:rsidR="00742BD1">
        <w:rPr>
          <w:rFonts w:eastAsia="Times New Roman"/>
          <w:b/>
          <w:bCs/>
          <w:color w:val="auto"/>
          <w:sz w:val="22"/>
          <w:szCs w:val="22"/>
        </w:rPr>
        <w:t xml:space="preserve"> </w:t>
      </w:r>
      <w:r w:rsidRPr="001A0FD5">
        <w:rPr>
          <w:rFonts w:eastAsia="Times New Roman"/>
          <w:b/>
          <w:bCs/>
          <w:color w:val="auto"/>
          <w:sz w:val="22"/>
          <w:szCs w:val="22"/>
        </w:rPr>
        <w:t>del</w:t>
      </w:r>
      <w:r w:rsidRPr="001A0FD5" w:rsidR="00742BD1">
        <w:rPr>
          <w:rFonts w:eastAsia="Times New Roman"/>
          <w:b/>
          <w:bCs/>
          <w:color w:val="auto"/>
          <w:sz w:val="22"/>
          <w:szCs w:val="22"/>
        </w:rPr>
        <w:t xml:space="preserve"> </w:t>
      </w:r>
      <w:r w:rsidRPr="001A0FD5">
        <w:rPr>
          <w:rFonts w:eastAsia="Times New Roman"/>
          <w:b/>
          <w:bCs/>
          <w:color w:val="auto"/>
          <w:sz w:val="22"/>
          <w:szCs w:val="22"/>
        </w:rPr>
        <w:t>riesg</w:t>
      </w:r>
      <w:r w:rsidRPr="001A0FD5" w:rsidR="006215CE">
        <w:rPr>
          <w:rFonts w:eastAsia="Times New Roman"/>
          <w:b/>
          <w:bCs/>
          <w:color w:val="auto"/>
          <w:sz w:val="22"/>
          <w:szCs w:val="22"/>
        </w:rPr>
        <w:t>o</w:t>
      </w:r>
      <w:bookmarkEnd w:id="7"/>
      <w:r w:rsidRPr="001A0FD5" w:rsidR="00742BD1">
        <w:rPr>
          <w:rFonts w:eastAsia="Times New Roman"/>
          <w:b/>
          <w:bCs/>
          <w:color w:val="auto"/>
          <w:sz w:val="22"/>
          <w:szCs w:val="22"/>
        </w:rPr>
        <w:t xml:space="preserve"> </w:t>
      </w:r>
    </w:p>
    <w:p w:rsidR="00794B16" w:rsidP="002C06C4" w:rsidRDefault="00794B16" w14:paraId="5FC56AD5" w14:textId="77777777">
      <w:pPr>
        <w:spacing w:after="0"/>
        <w:ind w:right="-142"/>
        <w:jc w:val="both"/>
        <w:rPr>
          <w:color w:val="EE0000"/>
        </w:rPr>
      </w:pPr>
    </w:p>
    <w:p w:rsidR="00984E70" w:rsidP="002C06C4" w:rsidRDefault="68B268D1" w14:paraId="23862C76" w14:textId="50837FAA">
      <w:pPr>
        <w:spacing w:after="0"/>
        <w:ind w:right="-142"/>
        <w:jc w:val="both"/>
        <w:rPr>
          <w:rFonts w:eastAsiaTheme="minorEastAsia"/>
          <w:sz w:val="22"/>
          <w:szCs w:val="22"/>
        </w:rPr>
      </w:pPr>
      <w:r w:rsidRPr="39F263E2">
        <w:rPr>
          <w:rFonts w:eastAsiaTheme="minorEastAsia"/>
          <w:sz w:val="22"/>
          <w:szCs w:val="22"/>
        </w:rPr>
        <w:t xml:space="preserve">El riesgo se define como la posibilidad de ocurrencia de un evento interno o externo que genera incertidumbre sobre el logro de los objetivos, estos pueden tener un impacto negativo o positivo para la organización (Almeida, Teixeira, Mira da Silva y </w:t>
      </w:r>
      <w:proofErr w:type="spellStart"/>
      <w:r w:rsidRPr="39F263E2">
        <w:rPr>
          <w:rFonts w:eastAsiaTheme="minorEastAsia"/>
          <w:sz w:val="22"/>
          <w:szCs w:val="22"/>
        </w:rPr>
        <w:t>Faroleiro</w:t>
      </w:r>
      <w:proofErr w:type="spellEnd"/>
      <w:r w:rsidRPr="39F263E2">
        <w:rPr>
          <w:rFonts w:eastAsiaTheme="minorEastAsia"/>
          <w:sz w:val="22"/>
          <w:szCs w:val="22"/>
        </w:rPr>
        <w:t xml:space="preserve">, 2019; </w:t>
      </w:r>
      <w:proofErr w:type="spellStart"/>
      <w:r w:rsidRPr="39F263E2">
        <w:rPr>
          <w:rFonts w:eastAsiaTheme="minorEastAsia"/>
          <w:sz w:val="22"/>
          <w:szCs w:val="22"/>
        </w:rPr>
        <w:t>Ojeka</w:t>
      </w:r>
      <w:proofErr w:type="spellEnd"/>
      <w:r w:rsidRPr="39F263E2">
        <w:rPr>
          <w:rFonts w:eastAsiaTheme="minorEastAsia"/>
          <w:sz w:val="22"/>
          <w:szCs w:val="22"/>
        </w:rPr>
        <w:t xml:space="preserve"> et al., 2019). Así mismo, los riesgos tienen presencia cuando se presentan diferencias entre los objetivos y los intereses de la organización, dado que los recursos no son consecuentes con los objetivos que se buscan alcanzar (Holcomb, 2006). Los riesgos deben estar enmarcados en un fin o en una actuación organizacional que, para este caso de análisis, es la estrategia, definida como un patrón o conducta en el tiempo, inmersa en lo que se planea hacer y en lo que realmente se ejecuta en una empresa (</w:t>
      </w:r>
      <w:proofErr w:type="spellStart"/>
      <w:r w:rsidRPr="39F263E2">
        <w:rPr>
          <w:rFonts w:eastAsiaTheme="minorEastAsia"/>
          <w:sz w:val="22"/>
          <w:szCs w:val="22"/>
        </w:rPr>
        <w:t>Minztberg</w:t>
      </w:r>
      <w:proofErr w:type="spellEnd"/>
      <w:r w:rsidRPr="39F263E2">
        <w:rPr>
          <w:rFonts w:eastAsiaTheme="minorEastAsia"/>
          <w:sz w:val="22"/>
          <w:szCs w:val="22"/>
        </w:rPr>
        <w:t>, Ahlstrand y Lampel, 2007). Igualmente, hace referencia a las acciones, planes, medidas o marcos de actuación que establece una organización para obtener los beneficios esperados y lograr una ventaja competitiva perdurable (Porter, 2008; Pascual, 2008).</w:t>
      </w:r>
    </w:p>
    <w:p w:rsidR="00984E70" w:rsidP="002C06C4" w:rsidRDefault="68B268D1" w14:paraId="7447F8FE" w14:textId="48E8C9B3">
      <w:pPr>
        <w:spacing w:after="0"/>
        <w:ind w:right="-142"/>
        <w:jc w:val="both"/>
        <w:rPr>
          <w:rFonts w:eastAsiaTheme="minorEastAsia"/>
          <w:b/>
          <w:bCs/>
          <w:sz w:val="22"/>
          <w:szCs w:val="22"/>
        </w:rPr>
      </w:pPr>
      <w:r w:rsidRPr="39F263E2">
        <w:rPr>
          <w:rFonts w:eastAsiaTheme="minorEastAsia"/>
          <w:b/>
          <w:bCs/>
          <w:sz w:val="22"/>
          <w:szCs w:val="22"/>
        </w:rPr>
        <w:t xml:space="preserve"> </w:t>
      </w:r>
    </w:p>
    <w:p w:rsidR="00984E70" w:rsidP="002C06C4" w:rsidRDefault="68B268D1" w14:paraId="7CE2573F" w14:textId="5402CF5D">
      <w:pPr>
        <w:spacing w:after="0"/>
        <w:ind w:right="-142"/>
        <w:jc w:val="both"/>
        <w:rPr>
          <w:rFonts w:eastAsiaTheme="minorEastAsia"/>
          <w:sz w:val="22"/>
          <w:szCs w:val="22"/>
        </w:rPr>
      </w:pPr>
      <w:r w:rsidRPr="39F263E2">
        <w:rPr>
          <w:rFonts w:eastAsiaTheme="minorEastAsia"/>
          <w:sz w:val="22"/>
          <w:szCs w:val="22"/>
        </w:rPr>
        <w:lastRenderedPageBreak/>
        <w:t xml:space="preserve">Aunque se puede pensar que los antecedentes de la gestión estratégica del riesgo están en las raíces antiguas en la edad media con la primera ley mercantil </w:t>
      </w:r>
      <w:r w:rsidR="00A62B11">
        <w:rPr>
          <w:rFonts w:eastAsiaTheme="minorEastAsia"/>
          <w:sz w:val="22"/>
          <w:szCs w:val="22"/>
        </w:rPr>
        <w:t>“</w:t>
      </w:r>
      <w:r w:rsidRPr="002E42DB" w:rsidR="6580A61C">
        <w:rPr>
          <w:rFonts w:eastAsiaTheme="minorEastAsia"/>
          <w:i/>
          <w:iCs/>
          <w:sz w:val="22"/>
          <w:szCs w:val="22"/>
        </w:rPr>
        <w:t xml:space="preserve">lex </w:t>
      </w:r>
      <w:proofErr w:type="spellStart"/>
      <w:r w:rsidRPr="002E42DB" w:rsidR="6580A61C">
        <w:rPr>
          <w:rFonts w:eastAsiaTheme="minorEastAsia"/>
          <w:i/>
          <w:iCs/>
          <w:sz w:val="22"/>
          <w:szCs w:val="22"/>
        </w:rPr>
        <w:t>mercatoria</w:t>
      </w:r>
      <w:proofErr w:type="spellEnd"/>
      <w:r w:rsidR="00A62B11">
        <w:rPr>
          <w:rFonts w:eastAsiaTheme="minorEastAsia"/>
          <w:i/>
          <w:iCs/>
          <w:sz w:val="22"/>
          <w:szCs w:val="22"/>
        </w:rPr>
        <w:t>”</w:t>
      </w:r>
      <w:r w:rsidRPr="39F263E2">
        <w:rPr>
          <w:rFonts w:eastAsiaTheme="minorEastAsia"/>
          <w:sz w:val="22"/>
          <w:szCs w:val="22"/>
        </w:rPr>
        <w:t>, cuando empezaron los comerciantes a adquirir contratos de seguros marítimos para proteger mercancías y mitigar pérdidas financieras, el antecedente directo de esta</w:t>
      </w:r>
      <w:r w:rsidRPr="39F263E2" w:rsidR="64FC6B78">
        <w:rPr>
          <w:rFonts w:eastAsiaTheme="minorEastAsia"/>
          <w:sz w:val="22"/>
          <w:szCs w:val="22"/>
        </w:rPr>
        <w:t xml:space="preserve"> teoría </w:t>
      </w:r>
      <w:r w:rsidRPr="39F263E2">
        <w:rPr>
          <w:rFonts w:eastAsiaTheme="minorEastAsia"/>
          <w:sz w:val="22"/>
          <w:szCs w:val="22"/>
        </w:rPr>
        <w:t>es la evolución de la</w:t>
      </w:r>
      <w:r w:rsidRPr="39F263E2" w:rsidR="5B45B142">
        <w:rPr>
          <w:rFonts w:eastAsiaTheme="minorEastAsia"/>
          <w:sz w:val="22"/>
          <w:szCs w:val="22"/>
        </w:rPr>
        <w:t xml:space="preserve"> gestión de riesgos tradicional</w:t>
      </w:r>
      <w:r w:rsidRPr="39F263E2">
        <w:rPr>
          <w:rFonts w:eastAsiaTheme="minorEastAsia"/>
          <w:sz w:val="22"/>
          <w:szCs w:val="22"/>
        </w:rPr>
        <w:t>, que se centraba casi exclusivamente en la compra de seguros y la mitigación de pérdidas financieras operativas durante los años 80. Esta visión evolucionó hacia la gestión de riesgos empresariales integrados (ERM) en los 90 y 2000, incorporando la anticipación de amenazas, el control preventivo y el impacto directo en los objetivos organizacionales.</w:t>
      </w:r>
    </w:p>
    <w:p w:rsidR="00984E70" w:rsidP="002C06C4" w:rsidRDefault="68B268D1" w14:paraId="63BF3841" w14:textId="7A2B7B60">
      <w:pPr>
        <w:spacing w:after="0"/>
        <w:ind w:right="-142"/>
        <w:jc w:val="both"/>
        <w:rPr>
          <w:rFonts w:eastAsiaTheme="minorEastAsia"/>
          <w:b/>
          <w:bCs/>
          <w:sz w:val="22"/>
          <w:szCs w:val="22"/>
        </w:rPr>
      </w:pPr>
      <w:r w:rsidRPr="39F263E2">
        <w:rPr>
          <w:rFonts w:eastAsiaTheme="minorEastAsia"/>
          <w:b/>
          <w:bCs/>
          <w:sz w:val="22"/>
          <w:szCs w:val="22"/>
        </w:rPr>
        <w:t xml:space="preserve"> </w:t>
      </w:r>
    </w:p>
    <w:p w:rsidR="00984E70" w:rsidP="002C06C4" w:rsidRDefault="68B268D1" w14:paraId="31EEB000" w14:textId="18DE05C1">
      <w:pPr>
        <w:spacing w:after="0"/>
        <w:ind w:right="-142"/>
        <w:jc w:val="both"/>
        <w:rPr>
          <w:rFonts w:eastAsiaTheme="minorEastAsia"/>
          <w:sz w:val="22"/>
          <w:szCs w:val="22"/>
        </w:rPr>
      </w:pPr>
      <w:r w:rsidRPr="39F263E2">
        <w:rPr>
          <w:rFonts w:eastAsiaTheme="minorEastAsia"/>
          <w:sz w:val="22"/>
          <w:szCs w:val="22"/>
        </w:rPr>
        <w:t xml:space="preserve">La gestión estratégica del riesgo podemos definirla integrando los aportes de algunos de los diferentes autores que la han estudiado, como A.J. Slywotzky, quien se enfocó en identificar y mitigar riesgos estratégicos, proponiendo la gestión de "riesgos positivos",  C.K. Prahalad, desarrolló la </w:t>
      </w:r>
      <w:proofErr w:type="spellStart"/>
      <w:r w:rsidRPr="39F263E2">
        <w:rPr>
          <w:rFonts w:eastAsiaTheme="minorEastAsia"/>
          <w:sz w:val="22"/>
          <w:szCs w:val="22"/>
        </w:rPr>
        <w:t>cocreación</w:t>
      </w:r>
      <w:proofErr w:type="spellEnd"/>
      <w:r w:rsidRPr="39F263E2">
        <w:rPr>
          <w:rFonts w:eastAsiaTheme="minorEastAsia"/>
          <w:sz w:val="22"/>
          <w:szCs w:val="22"/>
        </w:rPr>
        <w:t xml:space="preserve"> de valor aplicándola para equilibrar riesgo-retorno mediante la participación de partes interesadas como clientes, proveedores y socios, por su parte</w:t>
      </w:r>
      <w:r w:rsidR="000F116F">
        <w:rPr>
          <w:rFonts w:eastAsiaTheme="minorEastAsia"/>
          <w:sz w:val="22"/>
          <w:szCs w:val="22"/>
        </w:rPr>
        <w:t>,</w:t>
      </w:r>
      <w:r w:rsidRPr="39F263E2">
        <w:rPr>
          <w:rFonts w:eastAsiaTheme="minorEastAsia"/>
          <w:sz w:val="22"/>
          <w:szCs w:val="22"/>
        </w:rPr>
        <w:t xml:space="preserve"> Igor Ansoff definió la administración estratégica como proceso de gestión del cambio, lo que subyace a la gestión del riesgo, también con los aportes de</w:t>
      </w:r>
      <w:r w:rsidRPr="39F263E2" w:rsidR="16ECD654">
        <w:rPr>
          <w:rFonts w:eastAsiaTheme="minorEastAsia"/>
          <w:sz w:val="22"/>
          <w:szCs w:val="22"/>
        </w:rPr>
        <w:t xml:space="preserve"> COSO </w:t>
      </w:r>
      <w:r w:rsidRPr="39F263E2">
        <w:rPr>
          <w:rFonts w:eastAsiaTheme="minorEastAsia"/>
          <w:sz w:val="22"/>
          <w:szCs w:val="22"/>
        </w:rPr>
        <w:t>(</w:t>
      </w:r>
      <w:proofErr w:type="spellStart"/>
      <w:r w:rsidRPr="39F263E2">
        <w:rPr>
          <w:rFonts w:eastAsiaTheme="minorEastAsia"/>
          <w:sz w:val="22"/>
          <w:szCs w:val="22"/>
        </w:rPr>
        <w:t>Committee</w:t>
      </w:r>
      <w:proofErr w:type="spellEnd"/>
      <w:r w:rsidRPr="39F263E2">
        <w:rPr>
          <w:rFonts w:eastAsiaTheme="minorEastAsia"/>
          <w:sz w:val="22"/>
          <w:szCs w:val="22"/>
        </w:rPr>
        <w:t xml:space="preserve"> </w:t>
      </w:r>
      <w:proofErr w:type="spellStart"/>
      <w:r w:rsidRPr="39F263E2">
        <w:rPr>
          <w:rFonts w:eastAsiaTheme="minorEastAsia"/>
          <w:sz w:val="22"/>
          <w:szCs w:val="22"/>
        </w:rPr>
        <w:t>of</w:t>
      </w:r>
      <w:proofErr w:type="spellEnd"/>
      <w:r w:rsidRPr="39F263E2">
        <w:rPr>
          <w:rFonts w:eastAsiaTheme="minorEastAsia"/>
          <w:sz w:val="22"/>
          <w:szCs w:val="22"/>
        </w:rPr>
        <w:t xml:space="preserve"> </w:t>
      </w:r>
      <w:proofErr w:type="spellStart"/>
      <w:r w:rsidRPr="39F263E2">
        <w:rPr>
          <w:rFonts w:eastAsiaTheme="minorEastAsia"/>
          <w:sz w:val="22"/>
          <w:szCs w:val="22"/>
        </w:rPr>
        <w:t>Sponsoring</w:t>
      </w:r>
      <w:proofErr w:type="spellEnd"/>
      <w:r w:rsidRPr="39F263E2">
        <w:rPr>
          <w:rFonts w:eastAsiaTheme="minorEastAsia"/>
          <w:sz w:val="22"/>
          <w:szCs w:val="22"/>
        </w:rPr>
        <w:t xml:space="preserve"> </w:t>
      </w:r>
      <w:proofErr w:type="spellStart"/>
      <w:r w:rsidRPr="39F263E2">
        <w:rPr>
          <w:rFonts w:eastAsiaTheme="minorEastAsia"/>
          <w:sz w:val="22"/>
          <w:szCs w:val="22"/>
        </w:rPr>
        <w:t>Organizations</w:t>
      </w:r>
      <w:proofErr w:type="spellEnd"/>
      <w:r w:rsidRPr="39F263E2">
        <w:rPr>
          <w:rFonts w:eastAsiaTheme="minorEastAsia"/>
          <w:sz w:val="22"/>
          <w:szCs w:val="22"/>
        </w:rPr>
        <w:t xml:space="preserve">) que desarrolló el marco de Gestión de Riesgos Empresariales (ERM) fundamental para integrar riesgo y estrategia, y el aporte que la norma ISO 31000 hace a la teoría con un enfoque integral que convierte el riesgo en un facilitador de valor, integrándolo en la toma de decisiones, la cultura y los procesos organizativos. </w:t>
      </w:r>
    </w:p>
    <w:p w:rsidR="00984E70" w:rsidP="002C06C4" w:rsidRDefault="68B268D1" w14:paraId="2E1716B4" w14:textId="67B41E30">
      <w:pPr>
        <w:spacing w:after="0"/>
        <w:ind w:right="-142"/>
        <w:jc w:val="both"/>
        <w:rPr>
          <w:rFonts w:eastAsiaTheme="minorEastAsia"/>
          <w:b/>
          <w:bCs/>
          <w:sz w:val="22"/>
          <w:szCs w:val="22"/>
        </w:rPr>
      </w:pPr>
      <w:r w:rsidRPr="39F263E2">
        <w:rPr>
          <w:rFonts w:eastAsiaTheme="minorEastAsia"/>
          <w:b/>
          <w:bCs/>
          <w:sz w:val="22"/>
          <w:szCs w:val="22"/>
        </w:rPr>
        <w:t xml:space="preserve"> </w:t>
      </w:r>
    </w:p>
    <w:p w:rsidR="00984E70" w:rsidP="002C06C4" w:rsidRDefault="68B268D1" w14:paraId="7E7FD44C" w14:textId="1B7210ED">
      <w:pPr>
        <w:spacing w:after="0"/>
        <w:ind w:right="-142"/>
        <w:jc w:val="both"/>
        <w:rPr>
          <w:rFonts w:eastAsiaTheme="minorEastAsia"/>
          <w:sz w:val="22"/>
          <w:szCs w:val="22"/>
        </w:rPr>
      </w:pPr>
      <w:r w:rsidRPr="39F263E2">
        <w:rPr>
          <w:rFonts w:eastAsiaTheme="minorEastAsia"/>
          <w:sz w:val="22"/>
          <w:szCs w:val="22"/>
        </w:rPr>
        <w:t xml:space="preserve">La gestión estratégica del riesgo es un proceso sistemático y continuo que identifica, analiza y mitiga incertidumbres que afectan los objetivos a largo plazo de una organización, y que evitan crear valor competitivo en el mercado. Va más allá de lo operativo, integrando la gestión del riesgo en la planificación estratégica, el gobierno corporativo y la toma de decisiones para proteger y crear valor al servicio objeto de la organización. Es un proceso integral para evaluar el impacto de eventos potenciales (amenazas y oportunidades) en la dirección estratégica. El riesgo en las organizaciones se debe identificar, analizar, evaluar, y dar los tratamientos </w:t>
      </w:r>
      <w:r w:rsidRPr="39F263E2" w:rsidR="6F85DD31">
        <w:rPr>
          <w:rFonts w:eastAsiaTheme="minorEastAsia"/>
          <w:sz w:val="22"/>
          <w:szCs w:val="22"/>
        </w:rPr>
        <w:t>de acuerdo con</w:t>
      </w:r>
      <w:r w:rsidRPr="39F263E2">
        <w:rPr>
          <w:rFonts w:eastAsiaTheme="minorEastAsia"/>
          <w:sz w:val="22"/>
          <w:szCs w:val="22"/>
        </w:rPr>
        <w:t xml:space="preserve"> cada situación (mitigar, aceptar, transferir) y debe tener monitoreo continuo, el impacto de esta gestión en la organización, es que permite alinear la rentabilidad en la medida que el riesgo es mitigado, fortalece la cultura organizacional y mejora la toma de decisiones informada, así como el desarrollo de competencias del capital humano. Este enfoque dinámico busca no solo prevenir pérdidas, sino también identificar oportunidades para la ventaja competitiva. Los tipos de riesgos estratégicos son financieros, operacionales, regulatorios, reputacionales y de mercado. Este proceso requiere de un marco que defina una estructura, roles, responsabilidades, políticas, probabilidades del riesgo y la integración con la estrategia y la gestión organizacional. </w:t>
      </w:r>
    </w:p>
    <w:p w:rsidR="00984E70" w:rsidP="39F263E2" w:rsidRDefault="68B268D1" w14:paraId="3AC9A134" w14:textId="58FEFFC9">
      <w:pPr>
        <w:spacing w:after="0"/>
        <w:ind w:left="-567" w:right="-142"/>
        <w:jc w:val="both"/>
        <w:rPr>
          <w:rFonts w:eastAsiaTheme="minorEastAsia"/>
          <w:b/>
          <w:bCs/>
          <w:sz w:val="22"/>
          <w:szCs w:val="22"/>
        </w:rPr>
      </w:pPr>
      <w:r w:rsidRPr="39F263E2">
        <w:rPr>
          <w:rFonts w:eastAsiaTheme="minorEastAsia"/>
          <w:b/>
          <w:bCs/>
          <w:sz w:val="22"/>
          <w:szCs w:val="22"/>
        </w:rPr>
        <w:t xml:space="preserve"> </w:t>
      </w:r>
    </w:p>
    <w:p w:rsidR="00984E70" w:rsidP="002C06C4" w:rsidRDefault="68B268D1" w14:paraId="6ACDACAE" w14:textId="20F7D431">
      <w:pPr>
        <w:spacing w:after="0"/>
        <w:ind w:right="-142"/>
        <w:jc w:val="both"/>
        <w:rPr>
          <w:rFonts w:eastAsiaTheme="minorEastAsia"/>
          <w:sz w:val="22"/>
          <w:szCs w:val="22"/>
        </w:rPr>
      </w:pPr>
      <w:r w:rsidRPr="074E757E">
        <w:rPr>
          <w:rFonts w:eastAsiaTheme="minorEastAsia"/>
          <w:sz w:val="22"/>
          <w:szCs w:val="22"/>
        </w:rPr>
        <w:t xml:space="preserve">Un ejemplo clave </w:t>
      </w:r>
      <w:r w:rsidRPr="074E757E" w:rsidR="1DB3428B">
        <w:rPr>
          <w:rFonts w:eastAsiaTheme="minorEastAsia"/>
          <w:sz w:val="22"/>
          <w:szCs w:val="22"/>
        </w:rPr>
        <w:t>en la aplicaci</w:t>
      </w:r>
      <w:r w:rsidR="00B45E61">
        <w:rPr>
          <w:rFonts w:eastAsiaTheme="minorEastAsia"/>
          <w:sz w:val="22"/>
          <w:szCs w:val="22"/>
        </w:rPr>
        <w:t>ó</w:t>
      </w:r>
      <w:r w:rsidRPr="074E757E" w:rsidR="1DB3428B">
        <w:rPr>
          <w:rFonts w:eastAsiaTheme="minorEastAsia"/>
          <w:sz w:val="22"/>
          <w:szCs w:val="22"/>
        </w:rPr>
        <w:t>n</w:t>
      </w:r>
      <w:r w:rsidRPr="39F263E2">
        <w:rPr>
          <w:rFonts w:eastAsiaTheme="minorEastAsia"/>
          <w:sz w:val="22"/>
          <w:szCs w:val="22"/>
        </w:rPr>
        <w:t xml:space="preserve"> de </w:t>
      </w:r>
      <w:r w:rsidRPr="074E757E" w:rsidR="1DB3428B">
        <w:rPr>
          <w:rFonts w:eastAsiaTheme="minorEastAsia"/>
          <w:sz w:val="22"/>
          <w:szCs w:val="22"/>
        </w:rPr>
        <w:t xml:space="preserve">esta </w:t>
      </w:r>
      <w:r w:rsidRPr="074E757E" w:rsidR="00B45E61">
        <w:rPr>
          <w:rFonts w:eastAsiaTheme="minorEastAsia"/>
          <w:sz w:val="22"/>
          <w:szCs w:val="22"/>
        </w:rPr>
        <w:t>teoría</w:t>
      </w:r>
      <w:r w:rsidRPr="074E757E" w:rsidR="1DB3428B">
        <w:rPr>
          <w:rFonts w:eastAsiaTheme="minorEastAsia"/>
          <w:sz w:val="22"/>
          <w:szCs w:val="22"/>
        </w:rPr>
        <w:t>,</w:t>
      </w:r>
      <w:r w:rsidRPr="39F263E2">
        <w:rPr>
          <w:rFonts w:eastAsiaTheme="minorEastAsia"/>
          <w:sz w:val="22"/>
          <w:szCs w:val="22"/>
        </w:rPr>
        <w:t xml:space="preserve"> es una compañía tradicional fabricante de automóviles, que enfrenta el riesgo estratégico de que los vehículos eléctricos (VE) y la conducción autónoma hagan obsoletos sus motores de combustión. La alta dirección identifica el riesgo, que es la dependencia del motor a gasolina, eso reducirá la cuota de mercado y la reputación en los </w:t>
      </w:r>
      <w:r w:rsidRPr="39F263E2">
        <w:rPr>
          <w:rFonts w:eastAsiaTheme="minorEastAsia"/>
          <w:sz w:val="22"/>
          <w:szCs w:val="22"/>
        </w:rPr>
        <w:lastRenderedPageBreak/>
        <w:t xml:space="preserve">próximos 5-10 años. La aplicación de la teoría es la relación de mitigación / acción; la empresa reestructura su planificación estratégica para enfocar el 70% de su inversión en motores eléctricos y software, en lugar de optimizar motores diésel. </w:t>
      </w:r>
    </w:p>
    <w:p w:rsidR="00984E70" w:rsidP="002C06C4" w:rsidRDefault="68B268D1" w14:paraId="52761890" w14:textId="625FCAF2">
      <w:pPr>
        <w:spacing w:after="0"/>
        <w:ind w:right="-142"/>
        <w:jc w:val="both"/>
        <w:rPr>
          <w:rFonts w:eastAsiaTheme="minorEastAsia"/>
          <w:sz w:val="22"/>
          <w:szCs w:val="22"/>
        </w:rPr>
      </w:pPr>
      <w:r w:rsidRPr="39F263E2">
        <w:rPr>
          <w:rFonts w:eastAsiaTheme="minorEastAsia"/>
          <w:sz w:val="22"/>
          <w:szCs w:val="22"/>
        </w:rPr>
        <w:t xml:space="preserve"> </w:t>
      </w:r>
    </w:p>
    <w:p w:rsidRPr="00794B16" w:rsidR="00984E70" w:rsidP="002C06C4" w:rsidRDefault="68B268D1" w14:paraId="46FED6AA" w14:textId="043B14F1">
      <w:pPr>
        <w:spacing w:after="0"/>
        <w:ind w:right="-142"/>
        <w:jc w:val="both"/>
        <w:rPr>
          <w:rFonts w:eastAsiaTheme="minorEastAsia"/>
          <w:sz w:val="22"/>
          <w:szCs w:val="22"/>
        </w:rPr>
      </w:pPr>
      <w:r w:rsidRPr="39F263E2">
        <w:rPr>
          <w:rFonts w:eastAsiaTheme="minorEastAsia"/>
          <w:sz w:val="22"/>
          <w:szCs w:val="22"/>
        </w:rPr>
        <w:t xml:space="preserve">Esta aplicabilidad debe estar en constante monitoreo, se deben establecer indicadores clave de rendimiento para medir la adopción de nuevas tecnologías y la satisfacción del cliente en el nuevo segmento. Como resultado se espera que la empresa se adapte, manteniendo su relevancia y evitando la quiebra, logrando resiliencia organizacional. </w:t>
      </w:r>
      <w:r w:rsidR="00794B16">
        <w:rPr>
          <w:rFonts w:eastAsiaTheme="minorEastAsia"/>
          <w:sz w:val="22"/>
          <w:szCs w:val="22"/>
        </w:rPr>
        <w:t xml:space="preserve"> </w:t>
      </w:r>
      <w:r w:rsidRPr="39F263E2">
        <w:rPr>
          <w:rFonts w:eastAsiaTheme="minorEastAsia"/>
          <w:sz w:val="22"/>
          <w:szCs w:val="22"/>
        </w:rPr>
        <w:t>Este enfoque preventivo permite a las organizaciones no solo sobrevivir a amenazas externas (cambio climático, cambios regulatorios), sino convertirlas en oportunidades.</w:t>
      </w:r>
    </w:p>
    <w:p w:rsidR="031DD682" w:rsidP="39FFCF78" w:rsidRDefault="031DD682" w14:paraId="0B1C2E85" w14:textId="5AD36CC0">
      <w:pPr>
        <w:spacing w:after="0"/>
        <w:rPr>
          <w:rFonts w:eastAsiaTheme="minorEastAsia"/>
          <w:sz w:val="22"/>
          <w:szCs w:val="22"/>
        </w:rPr>
      </w:pPr>
    </w:p>
    <w:p w:rsidR="031DD682" w:rsidP="00B45E61" w:rsidRDefault="6FA69595" w14:paraId="6D77D5C2" w14:textId="0A555889">
      <w:pPr>
        <w:spacing w:after="0"/>
        <w:jc w:val="both"/>
        <w:rPr>
          <w:rFonts w:eastAsiaTheme="minorEastAsia"/>
          <w:sz w:val="22"/>
          <w:szCs w:val="22"/>
        </w:rPr>
      </w:pPr>
      <w:r w:rsidRPr="39FFCF78">
        <w:rPr>
          <w:rFonts w:eastAsiaTheme="minorEastAsia"/>
          <w:sz w:val="22"/>
          <w:szCs w:val="22"/>
        </w:rPr>
        <w:t>La implementación de planes, programas y políticas públicas en Colombia enfrenta riesgos críticos como la corrupción y desvío de recursos, la desarticulación entre el nivel nacional y local, y una planeación deficiente. Otros riesgos incluyen la insuficiencia presupuestal, la falta de capacidad técnica, cambios de gobierno, seguridad digital y baja participación ciudadana.</w:t>
      </w:r>
    </w:p>
    <w:p w:rsidR="00B45E61" w:rsidP="00B45E61" w:rsidRDefault="00B45E61" w14:paraId="740C0694" w14:textId="77777777">
      <w:pPr>
        <w:spacing w:after="0"/>
        <w:jc w:val="both"/>
        <w:rPr>
          <w:rFonts w:eastAsiaTheme="minorEastAsia"/>
          <w:sz w:val="22"/>
          <w:szCs w:val="22"/>
        </w:rPr>
      </w:pPr>
    </w:p>
    <w:p w:rsidRPr="00E50326" w:rsidR="000D5982" w:rsidP="00E50326" w:rsidRDefault="031DD682" w14:paraId="7FB81D83" w14:textId="4ED8AD08">
      <w:pPr>
        <w:spacing w:after="0"/>
        <w:jc w:val="both"/>
        <w:rPr>
          <w:rFonts w:eastAsiaTheme="minorEastAsia"/>
          <w:sz w:val="22"/>
          <w:szCs w:val="22"/>
        </w:rPr>
      </w:pPr>
      <w:r w:rsidRPr="39FFCF78">
        <w:rPr>
          <w:rFonts w:eastAsiaTheme="minorEastAsia"/>
          <w:sz w:val="22"/>
          <w:szCs w:val="22"/>
        </w:rPr>
        <w:t xml:space="preserve">La gestión estratégica del riesgo en políticas públicas en Colombia se aplica integrando la identificación, evaluación y tratamiento de riesgos (gestión, corrupción, desastres) en el ciclo de la política, siguiendo la Guía del </w:t>
      </w:r>
      <w:hyperlink r:id="rId12">
        <w:r w:rsidRPr="39FFCF78">
          <w:rPr>
            <w:rStyle w:val="Hipervnculo"/>
            <w:rFonts w:eastAsiaTheme="minorEastAsia"/>
            <w:color w:val="auto"/>
            <w:sz w:val="22"/>
            <w:szCs w:val="22"/>
            <w:u w:val="none"/>
          </w:rPr>
          <w:t>Modelo Integrado de Planeación y Gestión - MIPG</w:t>
        </w:r>
      </w:hyperlink>
      <w:r w:rsidRPr="39FFCF78">
        <w:rPr>
          <w:rFonts w:eastAsiaTheme="minorEastAsia"/>
          <w:sz w:val="22"/>
          <w:szCs w:val="22"/>
        </w:rPr>
        <w:t>. Esto garantiza la continuidad de servicios, protege recursos y asegura el cumplimiento de metas mediante mapas de calor y planes de contingencia.</w:t>
      </w:r>
    </w:p>
    <w:p w:rsidRPr="002F1698" w:rsidR="00984E70" w:rsidP="00920364" w:rsidRDefault="00231A06" w14:paraId="75C0D5E7" w14:textId="7A7997EB">
      <w:pPr>
        <w:pStyle w:val="Ttulo1"/>
        <w:numPr>
          <w:ilvl w:val="0"/>
          <w:numId w:val="6"/>
        </w:numPr>
        <w:jc w:val="center"/>
        <w:rPr>
          <w:rFonts w:asciiTheme="minorHAnsi" w:hAnsiTheme="minorHAnsi"/>
          <w:b/>
          <w:bCs/>
          <w:color w:val="auto"/>
          <w:sz w:val="24"/>
          <w:szCs w:val="24"/>
        </w:rPr>
      </w:pPr>
      <w:bookmarkStart w:name="_Toc225160601" w:id="8"/>
      <w:r w:rsidRPr="002F1698">
        <w:rPr>
          <w:rFonts w:asciiTheme="minorHAnsi" w:hAnsiTheme="minorHAnsi"/>
          <w:b/>
          <w:color w:val="auto"/>
          <w:sz w:val="24"/>
          <w:szCs w:val="24"/>
        </w:rPr>
        <w:t>MARCO METODOLÓGICO</w:t>
      </w:r>
      <w:bookmarkEnd w:id="8"/>
      <w:r w:rsidRPr="002F1698" w:rsidR="0E6CCB9D">
        <w:rPr>
          <w:rFonts w:asciiTheme="minorHAnsi" w:hAnsiTheme="minorHAnsi"/>
          <w:b/>
          <w:bCs/>
          <w:color w:val="auto"/>
          <w:sz w:val="24"/>
          <w:szCs w:val="24"/>
        </w:rPr>
        <w:t xml:space="preserve"> </w:t>
      </w:r>
    </w:p>
    <w:p w:rsidRPr="002F1698" w:rsidR="002319E3" w:rsidP="002319E3" w:rsidRDefault="002319E3" w14:paraId="4B6AE92A" w14:textId="77777777"/>
    <w:p w:rsidR="003E674B" w:rsidP="00EA4C33" w:rsidRDefault="5A2EAAAE" w14:paraId="614171C8" w14:textId="3E1D1065">
      <w:pPr>
        <w:jc w:val="both"/>
        <w:rPr>
          <w:sz w:val="22"/>
          <w:szCs w:val="22"/>
        </w:rPr>
      </w:pPr>
      <w:r w:rsidRPr="001F7A5B">
        <w:rPr>
          <w:sz w:val="22"/>
          <w:szCs w:val="22"/>
        </w:rPr>
        <w:t xml:space="preserve">El presente </w:t>
      </w:r>
      <w:r w:rsidR="008E145C">
        <w:rPr>
          <w:sz w:val="22"/>
          <w:szCs w:val="22"/>
        </w:rPr>
        <w:t>documento</w:t>
      </w:r>
      <w:r w:rsidRPr="001F7A5B">
        <w:rPr>
          <w:sz w:val="22"/>
          <w:szCs w:val="22"/>
        </w:rPr>
        <w:t xml:space="preserve"> adopta un enfoque cualitativo de carácter aplicado, orientado a la </w:t>
      </w:r>
      <w:r w:rsidR="004B1DD7">
        <w:rPr>
          <w:sz w:val="22"/>
          <w:szCs w:val="22"/>
        </w:rPr>
        <w:t xml:space="preserve">revisión </w:t>
      </w:r>
      <w:r w:rsidR="008C1AEE">
        <w:rPr>
          <w:sz w:val="22"/>
          <w:szCs w:val="22"/>
        </w:rPr>
        <w:t>de literatura especializada y artículos de investigación</w:t>
      </w:r>
      <w:r w:rsidR="00BC2801">
        <w:rPr>
          <w:sz w:val="22"/>
          <w:szCs w:val="22"/>
        </w:rPr>
        <w:t xml:space="preserve"> para la </w:t>
      </w:r>
      <w:r w:rsidRPr="001F7A5B">
        <w:rPr>
          <w:sz w:val="22"/>
          <w:szCs w:val="22"/>
        </w:rPr>
        <w:t xml:space="preserve">comprensión del riesgo organizacional </w:t>
      </w:r>
      <w:r w:rsidR="00BC2801">
        <w:rPr>
          <w:sz w:val="22"/>
          <w:szCs w:val="22"/>
        </w:rPr>
        <w:t xml:space="preserve">y </w:t>
      </w:r>
      <w:r w:rsidR="00C65E80">
        <w:rPr>
          <w:sz w:val="22"/>
          <w:szCs w:val="22"/>
        </w:rPr>
        <w:t xml:space="preserve">el análisis de casos </w:t>
      </w:r>
      <w:r w:rsidR="008013D5">
        <w:rPr>
          <w:sz w:val="22"/>
          <w:szCs w:val="22"/>
        </w:rPr>
        <w:t xml:space="preserve">sobre manejo del riesgo en el </w:t>
      </w:r>
      <w:r w:rsidR="00C65E80">
        <w:rPr>
          <w:sz w:val="22"/>
          <w:szCs w:val="22"/>
        </w:rPr>
        <w:t>contexto internacional</w:t>
      </w:r>
      <w:r w:rsidR="008013D5">
        <w:rPr>
          <w:sz w:val="22"/>
          <w:szCs w:val="22"/>
        </w:rPr>
        <w:t xml:space="preserve">, </w:t>
      </w:r>
      <w:r w:rsidR="002B1767">
        <w:rPr>
          <w:sz w:val="22"/>
          <w:szCs w:val="22"/>
        </w:rPr>
        <w:t>la identificación de patrones repetitivos en la experiencia institucional</w:t>
      </w:r>
      <w:r w:rsidR="00BC3A50">
        <w:rPr>
          <w:sz w:val="22"/>
          <w:szCs w:val="22"/>
        </w:rPr>
        <w:t xml:space="preserve"> analizada</w:t>
      </w:r>
      <w:r w:rsidR="008013D5">
        <w:rPr>
          <w:sz w:val="22"/>
          <w:szCs w:val="22"/>
        </w:rPr>
        <w:t xml:space="preserve"> y las características o factores que </w:t>
      </w:r>
      <w:r w:rsidR="008C1413">
        <w:rPr>
          <w:sz w:val="22"/>
          <w:szCs w:val="22"/>
        </w:rPr>
        <w:t>habilitaron culturas de riesgo</w:t>
      </w:r>
      <w:r w:rsidR="00BC3A50">
        <w:rPr>
          <w:sz w:val="22"/>
          <w:szCs w:val="22"/>
        </w:rPr>
        <w:t xml:space="preserve">. </w:t>
      </w:r>
      <w:r w:rsidR="008C1413">
        <w:rPr>
          <w:sz w:val="22"/>
          <w:szCs w:val="22"/>
        </w:rPr>
        <w:t xml:space="preserve">A partir de esta información, </w:t>
      </w:r>
      <w:r w:rsidR="00BC3A50">
        <w:rPr>
          <w:sz w:val="22"/>
          <w:szCs w:val="22"/>
        </w:rPr>
        <w:t>se diseña</w:t>
      </w:r>
      <w:r w:rsidR="00CB0BC9">
        <w:rPr>
          <w:sz w:val="22"/>
          <w:szCs w:val="22"/>
        </w:rPr>
        <w:t>ron dos</w:t>
      </w:r>
      <w:r w:rsidRPr="001F7A5B">
        <w:rPr>
          <w:sz w:val="22"/>
          <w:szCs w:val="22"/>
        </w:rPr>
        <w:t xml:space="preserve"> instrumento</w:t>
      </w:r>
      <w:r w:rsidR="00CB0BC9">
        <w:rPr>
          <w:sz w:val="22"/>
          <w:szCs w:val="22"/>
        </w:rPr>
        <w:t>s</w:t>
      </w:r>
      <w:r w:rsidRPr="001F7A5B">
        <w:rPr>
          <w:sz w:val="22"/>
          <w:szCs w:val="22"/>
        </w:rPr>
        <w:t xml:space="preserve"> para </w:t>
      </w:r>
      <w:r w:rsidR="00C57FC1">
        <w:rPr>
          <w:sz w:val="22"/>
          <w:szCs w:val="22"/>
        </w:rPr>
        <w:t xml:space="preserve">la </w:t>
      </w:r>
      <w:r w:rsidRPr="001F7A5B">
        <w:rPr>
          <w:sz w:val="22"/>
          <w:szCs w:val="22"/>
        </w:rPr>
        <w:t xml:space="preserve">identificación, análisis y prevención </w:t>
      </w:r>
      <w:r w:rsidR="00C57FC1">
        <w:rPr>
          <w:sz w:val="22"/>
          <w:szCs w:val="22"/>
        </w:rPr>
        <w:t xml:space="preserve">de la materialización de los riesgos </w:t>
      </w:r>
      <w:r w:rsidRPr="001F7A5B">
        <w:rPr>
          <w:sz w:val="22"/>
          <w:szCs w:val="22"/>
        </w:rPr>
        <w:t>en contextos institucionales</w:t>
      </w:r>
      <w:r w:rsidR="00C57FC1">
        <w:rPr>
          <w:sz w:val="22"/>
          <w:szCs w:val="22"/>
        </w:rPr>
        <w:t xml:space="preserve"> y</w:t>
      </w:r>
      <w:r w:rsidRPr="001F7A5B">
        <w:rPr>
          <w:sz w:val="22"/>
          <w:szCs w:val="22"/>
        </w:rPr>
        <w:t xml:space="preserve"> particularmente en </w:t>
      </w:r>
      <w:r w:rsidR="00C57FC1">
        <w:rPr>
          <w:sz w:val="22"/>
          <w:szCs w:val="22"/>
        </w:rPr>
        <w:t>programas de política pública</w:t>
      </w:r>
      <w:r w:rsidR="00940B35">
        <w:rPr>
          <w:sz w:val="22"/>
          <w:szCs w:val="22"/>
        </w:rPr>
        <w:t xml:space="preserve"> en </w:t>
      </w:r>
      <w:r w:rsidRPr="001F7A5B">
        <w:rPr>
          <w:sz w:val="22"/>
          <w:szCs w:val="22"/>
        </w:rPr>
        <w:t>Colombia</w:t>
      </w:r>
      <w:r w:rsidR="00A54EE1">
        <w:rPr>
          <w:sz w:val="22"/>
          <w:szCs w:val="22"/>
        </w:rPr>
        <w:t xml:space="preserve">, especialmente en aquellos relacionados con la </w:t>
      </w:r>
      <w:r w:rsidRPr="003E674B" w:rsidR="003E674B">
        <w:rPr>
          <w:sz w:val="22"/>
          <w:szCs w:val="22"/>
        </w:rPr>
        <w:t>transición energética</w:t>
      </w:r>
      <w:r w:rsidR="00A54EE1">
        <w:rPr>
          <w:sz w:val="22"/>
          <w:szCs w:val="22"/>
        </w:rPr>
        <w:t xml:space="preserve"> justa</w:t>
      </w:r>
      <w:r w:rsidR="00324DEB">
        <w:rPr>
          <w:sz w:val="22"/>
          <w:szCs w:val="22"/>
        </w:rPr>
        <w:t xml:space="preserve"> (TEJ)</w:t>
      </w:r>
      <w:r w:rsidRPr="003E674B" w:rsidR="003E674B">
        <w:rPr>
          <w:sz w:val="22"/>
          <w:szCs w:val="22"/>
        </w:rPr>
        <w:t xml:space="preserve">, </w:t>
      </w:r>
      <w:r w:rsidR="00324DEB">
        <w:rPr>
          <w:sz w:val="22"/>
          <w:szCs w:val="22"/>
        </w:rPr>
        <w:t xml:space="preserve">que busca </w:t>
      </w:r>
      <w:r w:rsidRPr="003E674B" w:rsidR="003E674B">
        <w:rPr>
          <w:sz w:val="22"/>
          <w:szCs w:val="22"/>
        </w:rPr>
        <w:t>garantizar que los procesos de transformación del sistema energético se desarrollen de manera equitativa, inclusiva y socialmente sostenible, minimizando impactos adversos sobre comunidades, territorios y trabajadores.</w:t>
      </w:r>
    </w:p>
    <w:p w:rsidRPr="00F611E4" w:rsidR="00796EB2" w:rsidP="000754E5" w:rsidRDefault="42F3A52C" w14:paraId="14D46B92" w14:textId="70653CF4">
      <w:pPr>
        <w:jc w:val="both"/>
        <w:rPr>
          <w:rFonts w:ascii="Aptos" w:hAnsi="Aptos" w:eastAsia="Aptos" w:cs="Aptos"/>
          <w:color w:val="000000" w:themeColor="text1"/>
          <w:sz w:val="22"/>
          <w:szCs w:val="22"/>
        </w:rPr>
      </w:pPr>
      <w:r w:rsidRPr="001F7A5B">
        <w:rPr>
          <w:rFonts w:eastAsiaTheme="minorEastAsia"/>
          <w:color w:val="000000" w:themeColor="text1"/>
          <w:sz w:val="22"/>
          <w:szCs w:val="22"/>
        </w:rPr>
        <w:t xml:space="preserve">Metodológicamente, la </w:t>
      </w:r>
      <w:r w:rsidR="00940B35">
        <w:rPr>
          <w:rFonts w:eastAsiaTheme="minorEastAsia"/>
          <w:color w:val="000000" w:themeColor="text1"/>
          <w:sz w:val="22"/>
          <w:szCs w:val="22"/>
        </w:rPr>
        <w:t xml:space="preserve">información </w:t>
      </w:r>
      <w:r w:rsidR="008A5D6F">
        <w:rPr>
          <w:rFonts w:eastAsiaTheme="minorEastAsia"/>
          <w:color w:val="000000" w:themeColor="text1"/>
          <w:sz w:val="22"/>
          <w:szCs w:val="22"/>
        </w:rPr>
        <w:t xml:space="preserve">base para la construcción de los instrumentos, </w:t>
      </w:r>
      <w:r w:rsidRPr="001F7A5B">
        <w:rPr>
          <w:rFonts w:eastAsiaTheme="minorEastAsia"/>
          <w:color w:val="000000" w:themeColor="text1"/>
          <w:sz w:val="22"/>
          <w:szCs w:val="22"/>
        </w:rPr>
        <w:t xml:space="preserve">se </w:t>
      </w:r>
      <w:r w:rsidR="002826CF">
        <w:rPr>
          <w:rFonts w:eastAsiaTheme="minorEastAsia"/>
          <w:color w:val="000000" w:themeColor="text1"/>
          <w:sz w:val="22"/>
          <w:szCs w:val="22"/>
        </w:rPr>
        <w:t>deriva del</w:t>
      </w:r>
      <w:r w:rsidR="00A57F02">
        <w:rPr>
          <w:rFonts w:eastAsiaTheme="minorEastAsia"/>
          <w:color w:val="000000" w:themeColor="text1"/>
          <w:sz w:val="22"/>
          <w:szCs w:val="22"/>
        </w:rPr>
        <w:t xml:space="preserve"> enfoque </w:t>
      </w:r>
      <w:r w:rsidR="0007725E">
        <w:rPr>
          <w:rFonts w:eastAsiaTheme="minorEastAsia"/>
          <w:color w:val="000000" w:themeColor="text1"/>
          <w:sz w:val="22"/>
          <w:szCs w:val="22"/>
        </w:rPr>
        <w:t xml:space="preserve">de </w:t>
      </w:r>
      <w:r w:rsidR="002826CF">
        <w:rPr>
          <w:rFonts w:eastAsiaTheme="minorEastAsia"/>
          <w:color w:val="000000" w:themeColor="text1"/>
          <w:sz w:val="22"/>
          <w:szCs w:val="22"/>
        </w:rPr>
        <w:t>revisión</w:t>
      </w:r>
      <w:r w:rsidR="0007725E">
        <w:rPr>
          <w:rFonts w:eastAsiaTheme="minorEastAsia"/>
          <w:color w:val="000000" w:themeColor="text1"/>
          <w:sz w:val="22"/>
          <w:szCs w:val="22"/>
        </w:rPr>
        <w:t xml:space="preserve"> y análisis documental </w:t>
      </w:r>
      <w:r w:rsidR="002826CF">
        <w:rPr>
          <w:rFonts w:eastAsiaTheme="minorEastAsia"/>
          <w:color w:val="000000" w:themeColor="text1"/>
          <w:sz w:val="22"/>
          <w:szCs w:val="22"/>
        </w:rPr>
        <w:t xml:space="preserve">que </w:t>
      </w:r>
      <w:r w:rsidRPr="001F7A5B">
        <w:rPr>
          <w:rFonts w:eastAsiaTheme="minorEastAsia"/>
          <w:color w:val="000000" w:themeColor="text1"/>
          <w:sz w:val="22"/>
          <w:szCs w:val="22"/>
        </w:rPr>
        <w:t>trasc</w:t>
      </w:r>
      <w:r w:rsidR="00F04B01">
        <w:rPr>
          <w:rFonts w:eastAsiaTheme="minorEastAsia"/>
          <w:color w:val="000000" w:themeColor="text1"/>
          <w:sz w:val="22"/>
          <w:szCs w:val="22"/>
        </w:rPr>
        <w:t>iende de</w:t>
      </w:r>
      <w:r w:rsidRPr="001F7A5B">
        <w:rPr>
          <w:rFonts w:eastAsiaTheme="minorEastAsia"/>
          <w:color w:val="000000" w:themeColor="text1"/>
          <w:sz w:val="22"/>
          <w:szCs w:val="22"/>
        </w:rPr>
        <w:t xml:space="preserve"> la revisión bibliográfica tradicional, </w:t>
      </w:r>
      <w:r w:rsidR="00B6471B">
        <w:rPr>
          <w:rFonts w:eastAsiaTheme="minorEastAsia"/>
          <w:color w:val="000000" w:themeColor="text1"/>
          <w:sz w:val="22"/>
          <w:szCs w:val="22"/>
        </w:rPr>
        <w:t>hacia la aplicación del</w:t>
      </w:r>
      <w:r w:rsidRPr="001F7A5B">
        <w:rPr>
          <w:rFonts w:eastAsiaTheme="minorEastAsia"/>
          <w:color w:val="000000" w:themeColor="text1"/>
          <w:sz w:val="22"/>
          <w:szCs w:val="22"/>
        </w:rPr>
        <w:t xml:space="preserve"> proceso investigativo </w:t>
      </w:r>
      <w:r w:rsidR="00B6471B">
        <w:rPr>
          <w:rFonts w:eastAsiaTheme="minorEastAsia"/>
          <w:color w:val="000000" w:themeColor="text1"/>
          <w:sz w:val="22"/>
          <w:szCs w:val="22"/>
        </w:rPr>
        <w:t xml:space="preserve">en </w:t>
      </w:r>
      <w:r w:rsidR="00AF57AE">
        <w:rPr>
          <w:rFonts w:eastAsiaTheme="minorEastAsia"/>
          <w:color w:val="000000" w:themeColor="text1"/>
          <w:sz w:val="22"/>
          <w:szCs w:val="22"/>
        </w:rPr>
        <w:t xml:space="preserve">la </w:t>
      </w:r>
      <w:r w:rsidR="00B6471B">
        <w:rPr>
          <w:rFonts w:eastAsiaTheme="minorEastAsia"/>
          <w:color w:val="000000" w:themeColor="text1"/>
          <w:sz w:val="22"/>
          <w:szCs w:val="22"/>
        </w:rPr>
        <w:t xml:space="preserve">formulación de herramientas que sean útiles y aplicables </w:t>
      </w:r>
      <w:r w:rsidR="00AF57AE">
        <w:rPr>
          <w:rFonts w:eastAsiaTheme="minorEastAsia"/>
          <w:color w:val="000000" w:themeColor="text1"/>
          <w:sz w:val="22"/>
          <w:szCs w:val="22"/>
        </w:rPr>
        <w:t>para los</w:t>
      </w:r>
      <w:r w:rsidR="00B6471B">
        <w:rPr>
          <w:rFonts w:eastAsiaTheme="minorEastAsia"/>
          <w:color w:val="000000" w:themeColor="text1"/>
          <w:sz w:val="22"/>
          <w:szCs w:val="22"/>
        </w:rPr>
        <w:t xml:space="preserve"> </w:t>
      </w:r>
      <w:r w:rsidR="00F611E4">
        <w:rPr>
          <w:rFonts w:eastAsiaTheme="minorEastAsia"/>
          <w:color w:val="000000" w:themeColor="text1"/>
          <w:sz w:val="22"/>
          <w:szCs w:val="22"/>
        </w:rPr>
        <w:t>proyectos de política pública</w:t>
      </w:r>
      <w:r w:rsidR="003D6A13">
        <w:rPr>
          <w:rFonts w:eastAsiaTheme="minorEastAsia"/>
          <w:color w:val="000000" w:themeColor="text1"/>
          <w:sz w:val="22"/>
          <w:szCs w:val="22"/>
        </w:rPr>
        <w:t xml:space="preserve">, </w:t>
      </w:r>
      <w:r w:rsidRPr="003D6A13" w:rsidR="003D6A13">
        <w:rPr>
          <w:rFonts w:eastAsiaTheme="minorEastAsia"/>
          <w:color w:val="000000" w:themeColor="text1"/>
          <w:sz w:val="22"/>
          <w:szCs w:val="22"/>
        </w:rPr>
        <w:t xml:space="preserve">considerando los desafíos específicos </w:t>
      </w:r>
      <w:r w:rsidRPr="003D6A13" w:rsidR="003D6A13">
        <w:rPr>
          <w:rFonts w:eastAsiaTheme="minorEastAsia"/>
          <w:color w:val="000000" w:themeColor="text1"/>
          <w:sz w:val="22"/>
          <w:szCs w:val="22"/>
        </w:rPr>
        <w:lastRenderedPageBreak/>
        <w:t xml:space="preserve">asociados a la implementación de políticas de transición energética, tales como la gobernanza multinivel, la </w:t>
      </w:r>
      <w:r w:rsidR="00B83D35">
        <w:rPr>
          <w:rFonts w:eastAsiaTheme="minorEastAsia"/>
          <w:color w:val="000000" w:themeColor="text1"/>
          <w:sz w:val="22"/>
          <w:szCs w:val="22"/>
        </w:rPr>
        <w:t>estructura organizacional</w:t>
      </w:r>
      <w:r w:rsidR="00B96FB2">
        <w:rPr>
          <w:rFonts w:eastAsiaTheme="minorEastAsia"/>
          <w:color w:val="000000" w:themeColor="text1"/>
          <w:sz w:val="22"/>
          <w:szCs w:val="22"/>
        </w:rPr>
        <w:t>, la definición de roles</w:t>
      </w:r>
      <w:r w:rsidRPr="003D6A13" w:rsidR="003D6A13">
        <w:rPr>
          <w:rFonts w:eastAsiaTheme="minorEastAsia"/>
          <w:color w:val="000000" w:themeColor="text1"/>
          <w:sz w:val="22"/>
          <w:szCs w:val="22"/>
        </w:rPr>
        <w:t xml:space="preserve"> y la gestión de impactos</w:t>
      </w:r>
      <w:r w:rsidR="00B83D35">
        <w:rPr>
          <w:rFonts w:eastAsiaTheme="minorEastAsia"/>
          <w:color w:val="000000" w:themeColor="text1"/>
          <w:sz w:val="22"/>
          <w:szCs w:val="22"/>
        </w:rPr>
        <w:t>.</w:t>
      </w:r>
    </w:p>
    <w:p w:rsidRPr="001F7A5B" w:rsidR="06FA5882" w:rsidP="00770CC9" w:rsidRDefault="2F3C52E4" w14:paraId="41A91A11" w14:textId="7927A3BA">
      <w:pPr>
        <w:jc w:val="both"/>
        <w:rPr>
          <w:sz w:val="22"/>
          <w:szCs w:val="22"/>
        </w:rPr>
      </w:pPr>
      <w:r w:rsidRPr="001F7A5B">
        <w:rPr>
          <w:sz w:val="22"/>
          <w:szCs w:val="22"/>
        </w:rPr>
        <w:t xml:space="preserve">La estrategia de análisis se desarrolló a partir de la búsqueda exhaustiva, selección y lectura analítica de literatura especializada y estudios de caso documentados, con el propósito de identificar indicadores, señales tempranas y dinámicas organizacionales recurrentes asociadas a la materialización del riesgo. Este proceso permitió construir una base empírica conceptual orientada a la </w:t>
      </w:r>
      <w:r w:rsidR="00AF57AE">
        <w:rPr>
          <w:sz w:val="22"/>
          <w:szCs w:val="22"/>
        </w:rPr>
        <w:t xml:space="preserve">definición </w:t>
      </w:r>
      <w:r w:rsidRPr="001F7A5B">
        <w:rPr>
          <w:sz w:val="22"/>
          <w:szCs w:val="22"/>
        </w:rPr>
        <w:t>de categorías analíticas aplicables.</w:t>
      </w:r>
    </w:p>
    <w:p w:rsidR="47D224BF" w:rsidP="001F7A5B" w:rsidRDefault="538D03AB" w14:paraId="68E040FB" w14:textId="02707937">
      <w:pPr>
        <w:spacing w:before="240" w:after="240"/>
        <w:jc w:val="both"/>
        <w:rPr>
          <w:rFonts w:ascii="Aptos" w:hAnsi="Aptos" w:eastAsia="Aptos" w:cs="Aptos"/>
          <w:color w:val="000000" w:themeColor="text1"/>
          <w:sz w:val="22"/>
          <w:szCs w:val="22"/>
        </w:rPr>
      </w:pPr>
      <w:r w:rsidRPr="78DAF227">
        <w:rPr>
          <w:rFonts w:ascii="Aptos" w:hAnsi="Aptos" w:eastAsia="Aptos" w:cs="Aptos"/>
          <w:color w:val="000000" w:themeColor="text1"/>
          <w:sz w:val="22"/>
          <w:szCs w:val="22"/>
        </w:rPr>
        <w:t xml:space="preserve">Para la organización de la información se utilizó </w:t>
      </w:r>
      <w:r w:rsidR="008066EE">
        <w:rPr>
          <w:rFonts w:ascii="Aptos" w:hAnsi="Aptos" w:eastAsia="Aptos" w:cs="Aptos"/>
          <w:color w:val="000000" w:themeColor="text1"/>
          <w:sz w:val="22"/>
          <w:szCs w:val="22"/>
        </w:rPr>
        <w:t>en</w:t>
      </w:r>
      <w:r w:rsidRPr="78DAF227">
        <w:rPr>
          <w:rFonts w:ascii="Aptos" w:hAnsi="Aptos" w:eastAsia="Aptos" w:cs="Aptos"/>
          <w:color w:val="000000" w:themeColor="text1"/>
          <w:sz w:val="22"/>
          <w:szCs w:val="22"/>
        </w:rPr>
        <w:t xml:space="preserve"> primer lugar, un enfoque inductivo, mediante el cual se identificaron patrones emergentes permitiendo </w:t>
      </w:r>
      <w:r w:rsidR="008066EE">
        <w:rPr>
          <w:rFonts w:ascii="Aptos" w:hAnsi="Aptos" w:eastAsia="Aptos" w:cs="Aptos"/>
          <w:color w:val="000000" w:themeColor="text1"/>
          <w:sz w:val="22"/>
          <w:szCs w:val="22"/>
        </w:rPr>
        <w:t>el entendimiento de los conceptos</w:t>
      </w:r>
      <w:r w:rsidR="003A7F0E">
        <w:rPr>
          <w:rFonts w:ascii="Aptos" w:hAnsi="Aptos" w:eastAsia="Aptos" w:cs="Aptos"/>
          <w:color w:val="000000" w:themeColor="text1"/>
          <w:sz w:val="22"/>
          <w:szCs w:val="22"/>
        </w:rPr>
        <w:t xml:space="preserve"> teóricos y prácticos y en</w:t>
      </w:r>
      <w:r w:rsidRPr="78DAF227">
        <w:rPr>
          <w:rFonts w:ascii="Aptos" w:hAnsi="Aptos" w:eastAsia="Aptos" w:cs="Aptos"/>
          <w:color w:val="000000" w:themeColor="text1"/>
          <w:sz w:val="22"/>
          <w:szCs w:val="22"/>
        </w:rPr>
        <w:t xml:space="preserve"> segundo lugar, </w:t>
      </w:r>
      <w:r w:rsidR="00AA5BC9">
        <w:rPr>
          <w:rFonts w:ascii="Aptos" w:hAnsi="Aptos" w:eastAsia="Aptos" w:cs="Aptos"/>
          <w:color w:val="000000" w:themeColor="text1"/>
          <w:sz w:val="22"/>
          <w:szCs w:val="22"/>
        </w:rPr>
        <w:t>se</w:t>
      </w:r>
      <w:r w:rsidRPr="78DAF227">
        <w:rPr>
          <w:rFonts w:ascii="Aptos" w:hAnsi="Aptos" w:eastAsia="Aptos" w:cs="Aptos"/>
          <w:color w:val="000000" w:themeColor="text1"/>
          <w:sz w:val="22"/>
          <w:szCs w:val="22"/>
        </w:rPr>
        <w:t xml:space="preserve"> estructuró la información </w:t>
      </w:r>
      <w:r w:rsidR="00AA5BC9">
        <w:rPr>
          <w:rFonts w:ascii="Aptos" w:hAnsi="Aptos" w:eastAsia="Aptos" w:cs="Aptos"/>
          <w:color w:val="000000" w:themeColor="text1"/>
          <w:sz w:val="22"/>
          <w:szCs w:val="22"/>
        </w:rPr>
        <w:t>revisada en</w:t>
      </w:r>
      <w:r w:rsidRPr="78DAF227">
        <w:rPr>
          <w:rFonts w:ascii="Aptos" w:hAnsi="Aptos" w:eastAsia="Aptos" w:cs="Aptos"/>
          <w:color w:val="000000" w:themeColor="text1"/>
          <w:sz w:val="22"/>
          <w:szCs w:val="22"/>
        </w:rPr>
        <w:t xml:space="preserve"> categorías</w:t>
      </w:r>
      <w:r w:rsidR="00AA5BC9">
        <w:rPr>
          <w:rFonts w:ascii="Aptos" w:hAnsi="Aptos" w:eastAsia="Aptos" w:cs="Aptos"/>
          <w:color w:val="000000" w:themeColor="text1"/>
          <w:sz w:val="22"/>
          <w:szCs w:val="22"/>
        </w:rPr>
        <w:t xml:space="preserve"> que sirvieron como dimensiones de análisis para los casos revisados del contexto internacional</w:t>
      </w:r>
      <w:r w:rsidR="001F7A5B">
        <w:rPr>
          <w:rFonts w:ascii="Aptos" w:hAnsi="Aptos" w:eastAsia="Aptos" w:cs="Aptos"/>
          <w:color w:val="000000" w:themeColor="text1"/>
          <w:sz w:val="22"/>
          <w:szCs w:val="22"/>
        </w:rPr>
        <w:t>,</w:t>
      </w:r>
      <w:r w:rsidRPr="78DAF227">
        <w:rPr>
          <w:rFonts w:ascii="Aptos" w:hAnsi="Aptos" w:eastAsia="Aptos" w:cs="Aptos"/>
          <w:color w:val="000000" w:themeColor="text1"/>
          <w:sz w:val="22"/>
          <w:szCs w:val="22"/>
        </w:rPr>
        <w:t xml:space="preserve"> tales como estructura organizacional, cultura institucional, toma de decisiones, fallas latentes, normalización del riesgo y señales tempranas ignoradas (Reason, 1997; Vaughan, 1999).</w:t>
      </w:r>
    </w:p>
    <w:p w:rsidR="00331DB0" w:rsidP="002C4CE2" w:rsidRDefault="00331DB0" w14:paraId="2A1CCB87" w14:textId="50B84B96">
      <w:pPr>
        <w:spacing w:before="240" w:after="240"/>
        <w:jc w:val="both"/>
        <w:rPr>
          <w:rFonts w:ascii="Aptos" w:hAnsi="Aptos" w:eastAsia="Aptos" w:cs="Aptos"/>
          <w:color w:val="000000" w:themeColor="text1"/>
          <w:sz w:val="22"/>
          <w:szCs w:val="22"/>
        </w:rPr>
      </w:pPr>
      <w:r w:rsidRPr="00331DB0">
        <w:rPr>
          <w:rFonts w:ascii="Aptos" w:hAnsi="Aptos" w:eastAsia="Aptos" w:cs="Aptos"/>
          <w:color w:val="000000" w:themeColor="text1"/>
          <w:sz w:val="22"/>
          <w:szCs w:val="22"/>
        </w:rPr>
        <w:t xml:space="preserve">La integración de ambos enfoques permitió la construcción de matrices analíticas comparativas, orientadas a identificar convergencias y divergencias entre teorías y casos, así como a aislar los factores críticos que inciden en la configuración del riesgo organizacional. Estas matrices constituyen el insumo metodológico central para la </w:t>
      </w:r>
      <w:r w:rsidR="00F438AB">
        <w:rPr>
          <w:rFonts w:ascii="Aptos" w:hAnsi="Aptos" w:eastAsia="Aptos" w:cs="Aptos"/>
          <w:color w:val="000000" w:themeColor="text1"/>
          <w:sz w:val="22"/>
          <w:szCs w:val="22"/>
        </w:rPr>
        <w:t>aplicabilidad de la información analizada</w:t>
      </w:r>
      <w:r w:rsidRPr="00331DB0">
        <w:rPr>
          <w:rFonts w:ascii="Aptos" w:hAnsi="Aptos" w:eastAsia="Aptos" w:cs="Aptos"/>
          <w:color w:val="000000" w:themeColor="text1"/>
          <w:sz w:val="22"/>
          <w:szCs w:val="22"/>
        </w:rPr>
        <w:t>: la traducción de hallazgos en instrumentos de análisis aplicables, con énfasis en la anticipación de riesgos sociales, institucionales y territoriales en procesos de transición energética.</w:t>
      </w:r>
    </w:p>
    <w:p w:rsidR="15340951" w:rsidP="002C4CE2" w:rsidRDefault="6A33F091" w14:paraId="4E3A36C8" w14:textId="1D1E2FCF">
      <w:pPr>
        <w:spacing w:before="240" w:after="240"/>
        <w:jc w:val="both"/>
        <w:rPr>
          <w:rFonts w:ascii="Aptos" w:hAnsi="Aptos" w:eastAsia="Aptos" w:cs="Aptos"/>
          <w:color w:val="000000" w:themeColor="text1"/>
          <w:sz w:val="22"/>
          <w:szCs w:val="22"/>
        </w:rPr>
      </w:pPr>
      <w:r w:rsidRPr="5105A0F1">
        <w:rPr>
          <w:rFonts w:ascii="Aptos" w:hAnsi="Aptos" w:eastAsia="Aptos" w:cs="Aptos"/>
          <w:color w:val="000000" w:themeColor="text1"/>
          <w:sz w:val="22"/>
          <w:szCs w:val="22"/>
        </w:rPr>
        <w:t xml:space="preserve">En este sentido, el objetivo metodológico del estudio no se limita a la interpretación teórica, sino que se orienta explícitamente a la </w:t>
      </w:r>
      <w:r w:rsidRPr="001F7A5B">
        <w:rPr>
          <w:rFonts w:ascii="Aptos" w:hAnsi="Aptos" w:eastAsia="Aptos" w:cs="Aptos"/>
          <w:color w:val="000000" w:themeColor="text1"/>
          <w:sz w:val="22"/>
          <w:szCs w:val="22"/>
        </w:rPr>
        <w:t>construcción de un instrumento de identificación y prevención del riesgo organizacional</w:t>
      </w:r>
      <w:r w:rsidRPr="5105A0F1">
        <w:rPr>
          <w:rFonts w:ascii="Aptos" w:hAnsi="Aptos" w:eastAsia="Aptos" w:cs="Aptos"/>
          <w:color w:val="000000" w:themeColor="text1"/>
          <w:sz w:val="22"/>
          <w:szCs w:val="22"/>
        </w:rPr>
        <w:t>, basado en la sistematización de los indicadores y patrones más recurrentes identificados en la literatura y en los casos analizados. Dicho instrumento busca facilitar procesos de diagnóstico institucional, permitiendo anticipar condiciones organizacionales que favorecen la materialización de eventos críticos.</w:t>
      </w:r>
    </w:p>
    <w:p w:rsidRPr="003B06E5" w:rsidR="003B06E5" w:rsidP="003B06E5" w:rsidRDefault="003B06E5" w14:paraId="1CF6B1F7" w14:textId="45B3656F">
      <w:pPr>
        <w:jc w:val="both"/>
        <w:rPr>
          <w:rFonts w:ascii="Aptos" w:hAnsi="Aptos" w:eastAsia="Aptos" w:cs="Aptos"/>
          <w:color w:val="000000" w:themeColor="text1"/>
          <w:sz w:val="22"/>
          <w:szCs w:val="22"/>
        </w:rPr>
      </w:pPr>
      <w:r w:rsidRPr="003B06E5">
        <w:rPr>
          <w:rFonts w:ascii="Aptos" w:hAnsi="Aptos" w:eastAsia="Aptos" w:cs="Aptos"/>
          <w:color w:val="000000" w:themeColor="text1"/>
          <w:sz w:val="22"/>
          <w:szCs w:val="22"/>
        </w:rPr>
        <w:t xml:space="preserve">Como resultado de este proceso, los hallazgos fueron operacionalizados en dos desarrollos metodológicos complementarios, presentados como anexos del documento. En primer lugar, se estructuró un instrumento basado en el enfoque de análisis de políticas públicas de Bardach (2012), el cual permite organizar el problema del riesgo organizacional en términos de diagnóstico, formulación de alternativas, evaluación de consecuencias y toma de decisiones, facilitando su aplicabilidad en procesos de diseño e implementación de políticas públicas de transición energética </w:t>
      </w:r>
      <w:r w:rsidR="00160AB3">
        <w:rPr>
          <w:rFonts w:ascii="Aptos" w:hAnsi="Aptos" w:eastAsia="Aptos" w:cs="Aptos"/>
          <w:color w:val="000000" w:themeColor="text1"/>
          <w:sz w:val="22"/>
          <w:szCs w:val="22"/>
        </w:rPr>
        <w:t xml:space="preserve">justa dado que invita a los equipos técnicos de implementación analizar el programa con una perspectiva </w:t>
      </w:r>
      <w:r w:rsidR="006A1D4C">
        <w:rPr>
          <w:rFonts w:ascii="Aptos" w:hAnsi="Aptos" w:eastAsia="Aptos" w:cs="Aptos"/>
          <w:color w:val="000000" w:themeColor="text1"/>
          <w:sz w:val="22"/>
          <w:szCs w:val="22"/>
        </w:rPr>
        <w:t xml:space="preserve">amplia que incluye los factores y características propias del territorio. </w:t>
      </w:r>
    </w:p>
    <w:p w:rsidRPr="003B06E5" w:rsidR="003B06E5" w:rsidP="003B06E5" w:rsidRDefault="003B06E5" w14:paraId="3F1614C4" w14:textId="472D6F01">
      <w:pPr>
        <w:jc w:val="both"/>
        <w:rPr>
          <w:rFonts w:ascii="Aptos" w:hAnsi="Aptos" w:eastAsia="Aptos" w:cs="Aptos"/>
          <w:color w:val="000000" w:themeColor="text1"/>
          <w:sz w:val="22"/>
          <w:szCs w:val="22"/>
        </w:rPr>
      </w:pPr>
      <w:r w:rsidRPr="003B06E5">
        <w:rPr>
          <w:rFonts w:ascii="Aptos" w:hAnsi="Aptos" w:eastAsia="Aptos" w:cs="Aptos"/>
          <w:color w:val="000000" w:themeColor="text1"/>
          <w:sz w:val="22"/>
          <w:szCs w:val="22"/>
        </w:rPr>
        <w:t xml:space="preserve">En segundo lugar, se desarrolló un instrumento basado en la metodología del árbol de problemas, que permite representar de manera estructurada las relaciones causales entre factores de riesgo, identificando causas estructurales, factores intermedios y efectos críticos. Este instrumento contribuye a una comprensión sistémica del riesgo organizacional y a la identificación de puntos </w:t>
      </w:r>
      <w:r w:rsidRPr="003B06E5">
        <w:rPr>
          <w:rFonts w:ascii="Aptos" w:hAnsi="Aptos" w:eastAsia="Aptos" w:cs="Aptos"/>
          <w:color w:val="000000" w:themeColor="text1"/>
          <w:sz w:val="22"/>
          <w:szCs w:val="22"/>
        </w:rPr>
        <w:lastRenderedPageBreak/>
        <w:t xml:space="preserve">estratégicos de intervención institucional, incorporando variables sociales, territoriales y ambientales </w:t>
      </w:r>
      <w:r w:rsidR="00E03B05">
        <w:rPr>
          <w:rFonts w:ascii="Aptos" w:hAnsi="Aptos" w:eastAsia="Aptos" w:cs="Aptos"/>
          <w:color w:val="000000" w:themeColor="text1"/>
          <w:sz w:val="22"/>
          <w:szCs w:val="22"/>
        </w:rPr>
        <w:t xml:space="preserve">que serán </w:t>
      </w:r>
      <w:r w:rsidRPr="003B06E5">
        <w:rPr>
          <w:rFonts w:ascii="Aptos" w:hAnsi="Aptos" w:eastAsia="Aptos" w:cs="Aptos"/>
          <w:color w:val="000000" w:themeColor="text1"/>
          <w:sz w:val="22"/>
          <w:szCs w:val="22"/>
        </w:rPr>
        <w:t>clave en la</w:t>
      </w:r>
      <w:r w:rsidR="00E03B05">
        <w:rPr>
          <w:rFonts w:ascii="Aptos" w:hAnsi="Aptos" w:eastAsia="Aptos" w:cs="Aptos"/>
          <w:color w:val="000000" w:themeColor="text1"/>
          <w:sz w:val="22"/>
          <w:szCs w:val="22"/>
        </w:rPr>
        <w:t xml:space="preserve"> implementación de los programas relacionados con </w:t>
      </w:r>
      <w:r w:rsidR="00BF69D6">
        <w:rPr>
          <w:rFonts w:ascii="Aptos" w:hAnsi="Aptos" w:eastAsia="Aptos" w:cs="Aptos"/>
          <w:color w:val="000000" w:themeColor="text1"/>
          <w:sz w:val="22"/>
          <w:szCs w:val="22"/>
        </w:rPr>
        <w:t xml:space="preserve">la </w:t>
      </w:r>
      <w:r w:rsidRPr="003B06E5" w:rsidR="00BF69D6">
        <w:rPr>
          <w:rFonts w:ascii="Aptos" w:hAnsi="Aptos" w:eastAsia="Aptos" w:cs="Aptos"/>
          <w:color w:val="000000" w:themeColor="text1"/>
          <w:sz w:val="22"/>
          <w:szCs w:val="22"/>
        </w:rPr>
        <w:t>transición</w:t>
      </w:r>
      <w:r w:rsidRPr="003B06E5">
        <w:rPr>
          <w:rFonts w:ascii="Aptos" w:hAnsi="Aptos" w:eastAsia="Aptos" w:cs="Aptos"/>
          <w:color w:val="000000" w:themeColor="text1"/>
          <w:sz w:val="22"/>
          <w:szCs w:val="22"/>
        </w:rPr>
        <w:t xml:space="preserve"> energética justa</w:t>
      </w:r>
      <w:r w:rsidR="005A0920">
        <w:rPr>
          <w:rFonts w:ascii="Aptos" w:hAnsi="Aptos" w:eastAsia="Aptos" w:cs="Aptos"/>
          <w:color w:val="000000" w:themeColor="text1"/>
          <w:sz w:val="22"/>
          <w:szCs w:val="22"/>
        </w:rPr>
        <w:t xml:space="preserve"> y sus programas como Colombia Solar</w:t>
      </w:r>
      <w:r w:rsidRPr="003B06E5">
        <w:rPr>
          <w:rFonts w:ascii="Aptos" w:hAnsi="Aptos" w:eastAsia="Aptos" w:cs="Aptos"/>
          <w:color w:val="000000" w:themeColor="text1"/>
          <w:sz w:val="22"/>
          <w:szCs w:val="22"/>
        </w:rPr>
        <w:t>.</w:t>
      </w:r>
    </w:p>
    <w:p w:rsidR="00193061" w:rsidP="45AC0175" w:rsidRDefault="45F6B6CE" w14:paraId="00580447" w14:textId="5A021285">
      <w:pPr>
        <w:jc w:val="both"/>
        <w:rPr>
          <w:sz w:val="22"/>
          <w:szCs w:val="22"/>
        </w:rPr>
      </w:pPr>
      <w:r w:rsidRPr="001F7A5B">
        <w:rPr>
          <w:sz w:val="22"/>
          <w:szCs w:val="22"/>
        </w:rPr>
        <w:t>Ambos instrumentos constituyen una operacionalización directa de los hallazgos derivados del análisis, consolidando un enfoque metodológico que articula teoría y aplicación práctica. En este sentido, el estudio propone un tránsito desde la comprensión del riesgo hacia su gestión preventiva, aportando herramientas concretas para fortalecer la toma de decisiones en organizaciones públicas</w:t>
      </w:r>
      <w:r w:rsidR="003605AC">
        <w:rPr>
          <w:sz w:val="22"/>
          <w:szCs w:val="22"/>
        </w:rPr>
        <w:t xml:space="preserve">, </w:t>
      </w:r>
      <w:r w:rsidRPr="003605AC" w:rsidR="003605AC">
        <w:rPr>
          <w:sz w:val="22"/>
          <w:szCs w:val="22"/>
        </w:rPr>
        <w:t>especialmente en contextos de transformación energética donde los riesgos técnicos, institucionales y sociales se encuentran profundamente interrelacionados</w:t>
      </w:r>
      <w:r w:rsidRPr="001F7A5B">
        <w:rPr>
          <w:sz w:val="22"/>
          <w:szCs w:val="22"/>
        </w:rPr>
        <w:t>.</w:t>
      </w:r>
    </w:p>
    <w:p w:rsidRPr="001F7A5B" w:rsidR="029EC181" w:rsidP="25FD9D41" w:rsidRDefault="029EC181" w14:paraId="2FEC61E4" w14:textId="4C350782">
      <w:pPr>
        <w:jc w:val="both"/>
        <w:rPr>
          <w:sz w:val="22"/>
          <w:szCs w:val="22"/>
        </w:rPr>
      </w:pPr>
      <w:r w:rsidRPr="001F7A5B">
        <w:rPr>
          <w:sz w:val="22"/>
          <w:szCs w:val="22"/>
        </w:rPr>
        <w:t>En consecuencia, la metodología desarrollada permite no solo identificar patrones de riesgo organizacional, sino también estructurar mecanismos analíticos que contribuyen a evitar su materialización, ampliando los enfoques tradicionales de gestión del riesgo al incorporar una perspectiva organizacional, sistémica y preventiva (Perrow, 1984; Reason, 1997).</w:t>
      </w:r>
    </w:p>
    <w:p w:rsidRPr="001F7A5B" w:rsidR="029EC181" w:rsidP="001F7A5B" w:rsidRDefault="029EC181" w14:paraId="5895316C" w14:textId="334B0227">
      <w:pPr>
        <w:jc w:val="both"/>
        <w:rPr>
          <w:sz w:val="22"/>
          <w:szCs w:val="22"/>
        </w:rPr>
      </w:pPr>
      <w:r w:rsidRPr="001F7A5B">
        <w:rPr>
          <w:sz w:val="22"/>
          <w:szCs w:val="22"/>
        </w:rPr>
        <w:t xml:space="preserve">Finalmente, la síntesis integradora del estudio consolida estos hallazgos en matrices analíticas y herramientas aplicadas, orientadas a su utilización </w:t>
      </w:r>
      <w:r w:rsidR="00D956FA">
        <w:rPr>
          <w:sz w:val="22"/>
          <w:szCs w:val="22"/>
        </w:rPr>
        <w:t>para</w:t>
      </w:r>
      <w:r w:rsidRPr="001F7A5B">
        <w:rPr>
          <w:sz w:val="22"/>
          <w:szCs w:val="22"/>
        </w:rPr>
        <w:t xml:space="preserve"> la evaluación, diseño y seguimiento de programas y proyectos de política pública en Colombia, fortaleciendo así la capacidad institucional para anticipar, gestionar y mitigar riesgos organizacionales en contextos complejos.</w:t>
      </w:r>
    </w:p>
    <w:p w:rsidRPr="00121B73" w:rsidR="00CD3FED" w:rsidP="00193061" w:rsidRDefault="00CD3FED" w14:paraId="2E0D7F43" w14:textId="77777777">
      <w:pPr>
        <w:jc w:val="both"/>
        <w:rPr>
          <w:sz w:val="22"/>
          <w:szCs w:val="22"/>
        </w:rPr>
      </w:pPr>
    </w:p>
    <w:p w:rsidRPr="00AC0219" w:rsidR="008C0C32" w:rsidP="00920364" w:rsidRDefault="00B364D4" w14:paraId="2E526489" w14:textId="74714A5D">
      <w:pPr>
        <w:pStyle w:val="Ttulo1"/>
        <w:numPr>
          <w:ilvl w:val="0"/>
          <w:numId w:val="6"/>
        </w:numPr>
        <w:jc w:val="center"/>
        <w:rPr>
          <w:rFonts w:asciiTheme="minorHAnsi" w:hAnsiTheme="minorHAnsi"/>
          <w:b/>
          <w:bCs/>
          <w:color w:val="auto"/>
          <w:sz w:val="24"/>
          <w:szCs w:val="24"/>
        </w:rPr>
      </w:pPr>
      <w:bookmarkStart w:name="_Toc225160604" w:id="9"/>
      <w:r w:rsidRPr="00AC0219">
        <w:rPr>
          <w:rFonts w:asciiTheme="minorHAnsi" w:hAnsiTheme="minorHAnsi"/>
          <w:b/>
          <w:bCs/>
          <w:color w:val="auto"/>
          <w:sz w:val="24"/>
          <w:szCs w:val="24"/>
        </w:rPr>
        <w:t>ANÁLISIS</w:t>
      </w:r>
      <w:r>
        <w:rPr>
          <w:rFonts w:asciiTheme="minorHAnsi" w:hAnsiTheme="minorHAnsi"/>
          <w:b/>
          <w:bCs/>
          <w:color w:val="auto"/>
          <w:sz w:val="24"/>
          <w:szCs w:val="24"/>
        </w:rPr>
        <w:t xml:space="preserve"> DE RIESGO</w:t>
      </w:r>
      <w:r w:rsidR="007B2CF5">
        <w:rPr>
          <w:rFonts w:asciiTheme="minorHAnsi" w:hAnsiTheme="minorHAnsi"/>
          <w:b/>
          <w:bCs/>
          <w:color w:val="auto"/>
          <w:sz w:val="24"/>
          <w:szCs w:val="24"/>
        </w:rPr>
        <w:t>S</w:t>
      </w:r>
      <w:r>
        <w:rPr>
          <w:rFonts w:asciiTheme="minorHAnsi" w:hAnsiTheme="minorHAnsi"/>
          <w:b/>
          <w:bCs/>
          <w:color w:val="auto"/>
          <w:sz w:val="24"/>
          <w:szCs w:val="24"/>
        </w:rPr>
        <w:t xml:space="preserve"> EN EL </w:t>
      </w:r>
      <w:r w:rsidR="006841F1">
        <w:rPr>
          <w:rFonts w:asciiTheme="minorHAnsi" w:hAnsiTheme="minorHAnsi"/>
          <w:b/>
          <w:bCs/>
          <w:color w:val="auto"/>
          <w:sz w:val="24"/>
          <w:szCs w:val="24"/>
        </w:rPr>
        <w:t>CONTEXTO INTERNACIONAL</w:t>
      </w:r>
      <w:bookmarkEnd w:id="9"/>
      <w:r w:rsidR="00CC4B64">
        <w:rPr>
          <w:rFonts w:asciiTheme="minorHAnsi" w:hAnsiTheme="minorHAnsi"/>
          <w:b/>
          <w:bCs/>
          <w:color w:val="auto"/>
          <w:sz w:val="24"/>
          <w:szCs w:val="24"/>
        </w:rPr>
        <w:t xml:space="preserve"> </w:t>
      </w:r>
    </w:p>
    <w:p w:rsidRPr="00AC0219" w:rsidR="009A06FB" w:rsidP="009A06FB" w:rsidRDefault="009A06FB" w14:paraId="614EA4ED" w14:textId="77777777">
      <w:pPr>
        <w:ind w:left="360"/>
      </w:pPr>
    </w:p>
    <w:p w:rsidRPr="0029503B" w:rsidR="007B265B" w:rsidP="006841F1" w:rsidRDefault="006841F1" w14:paraId="47C87639" w14:textId="54953DD5">
      <w:pPr>
        <w:jc w:val="both"/>
        <w:rPr>
          <w:sz w:val="22"/>
          <w:szCs w:val="22"/>
        </w:rPr>
      </w:pPr>
      <w:r w:rsidRPr="0029503B">
        <w:rPr>
          <w:sz w:val="22"/>
          <w:szCs w:val="22"/>
        </w:rPr>
        <w:t>El</w:t>
      </w:r>
      <w:r w:rsidRPr="0029503B" w:rsidR="007B265B">
        <w:rPr>
          <w:sz w:val="22"/>
          <w:szCs w:val="22"/>
        </w:rPr>
        <w:t xml:space="preserve"> </w:t>
      </w:r>
      <w:r w:rsidRPr="0029503B">
        <w:rPr>
          <w:sz w:val="22"/>
          <w:szCs w:val="22"/>
        </w:rPr>
        <w:t>análisis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experiencias</w:t>
      </w:r>
      <w:r w:rsidRPr="0029503B" w:rsidR="007B265B">
        <w:rPr>
          <w:sz w:val="22"/>
          <w:szCs w:val="22"/>
        </w:rPr>
        <w:t xml:space="preserve"> </w:t>
      </w:r>
      <w:r w:rsidRPr="0029503B">
        <w:rPr>
          <w:sz w:val="22"/>
          <w:szCs w:val="22"/>
        </w:rPr>
        <w:t>internacionales</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las</w:t>
      </w:r>
      <w:r w:rsidRPr="0029503B" w:rsidR="007B265B">
        <w:rPr>
          <w:sz w:val="22"/>
          <w:szCs w:val="22"/>
        </w:rPr>
        <w:t xml:space="preserve"> </w:t>
      </w:r>
      <w:r w:rsidRPr="0029503B">
        <w:rPr>
          <w:sz w:val="22"/>
          <w:szCs w:val="22"/>
        </w:rPr>
        <w:t>que</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riesgos</w:t>
      </w:r>
      <w:r w:rsidRPr="0029503B" w:rsidR="007B265B">
        <w:rPr>
          <w:sz w:val="22"/>
          <w:szCs w:val="22"/>
        </w:rPr>
        <w:t xml:space="preserve"> </w:t>
      </w:r>
      <w:r w:rsidRPr="0029503B">
        <w:rPr>
          <w:sz w:val="22"/>
          <w:szCs w:val="22"/>
        </w:rPr>
        <w:t>organizacionales</w:t>
      </w:r>
      <w:r w:rsidRPr="0029503B" w:rsidR="007B265B">
        <w:rPr>
          <w:sz w:val="22"/>
          <w:szCs w:val="22"/>
        </w:rPr>
        <w:t xml:space="preserve"> </w:t>
      </w:r>
      <w:r w:rsidRPr="0029503B">
        <w:rPr>
          <w:sz w:val="22"/>
          <w:szCs w:val="22"/>
        </w:rPr>
        <w:t>se</w:t>
      </w:r>
      <w:r w:rsidRPr="0029503B" w:rsidR="007B265B">
        <w:rPr>
          <w:sz w:val="22"/>
          <w:szCs w:val="22"/>
        </w:rPr>
        <w:t xml:space="preserve"> </w:t>
      </w:r>
      <w:r w:rsidRPr="0029503B">
        <w:rPr>
          <w:sz w:val="22"/>
          <w:szCs w:val="22"/>
        </w:rPr>
        <w:t>han</w:t>
      </w:r>
      <w:r w:rsidRPr="0029503B" w:rsidR="007B265B">
        <w:rPr>
          <w:sz w:val="22"/>
          <w:szCs w:val="22"/>
        </w:rPr>
        <w:t xml:space="preserve"> </w:t>
      </w:r>
      <w:r w:rsidRPr="0029503B">
        <w:rPr>
          <w:sz w:val="22"/>
          <w:szCs w:val="22"/>
        </w:rPr>
        <w:t>materializado</w:t>
      </w:r>
      <w:r w:rsidRPr="0029503B" w:rsidR="007B265B">
        <w:rPr>
          <w:sz w:val="22"/>
          <w:szCs w:val="22"/>
        </w:rPr>
        <w:t xml:space="preserve"> </w:t>
      </w:r>
      <w:r w:rsidRPr="0029503B">
        <w:rPr>
          <w:sz w:val="22"/>
          <w:szCs w:val="22"/>
        </w:rPr>
        <w:t>constituye</w:t>
      </w:r>
      <w:r w:rsidRPr="0029503B" w:rsidR="007B265B">
        <w:rPr>
          <w:sz w:val="22"/>
          <w:szCs w:val="22"/>
        </w:rPr>
        <w:t xml:space="preserve"> </w:t>
      </w:r>
      <w:r w:rsidRPr="0029503B">
        <w:rPr>
          <w:sz w:val="22"/>
          <w:szCs w:val="22"/>
        </w:rPr>
        <w:t>una</w:t>
      </w:r>
      <w:r w:rsidRPr="0029503B" w:rsidR="007B265B">
        <w:rPr>
          <w:sz w:val="22"/>
          <w:szCs w:val="22"/>
        </w:rPr>
        <w:t xml:space="preserve"> </w:t>
      </w:r>
      <w:r w:rsidRPr="0029503B">
        <w:rPr>
          <w:sz w:val="22"/>
          <w:szCs w:val="22"/>
        </w:rPr>
        <w:t>herramienta</w:t>
      </w:r>
      <w:r w:rsidRPr="0029503B" w:rsidR="007B265B">
        <w:rPr>
          <w:sz w:val="22"/>
          <w:szCs w:val="22"/>
        </w:rPr>
        <w:t xml:space="preserve"> </w:t>
      </w:r>
      <w:r w:rsidRPr="0029503B">
        <w:rPr>
          <w:sz w:val="22"/>
          <w:szCs w:val="22"/>
        </w:rPr>
        <w:t>fundamental</w:t>
      </w:r>
      <w:r w:rsidRPr="0029503B" w:rsidR="007B265B">
        <w:rPr>
          <w:sz w:val="22"/>
          <w:szCs w:val="22"/>
        </w:rPr>
        <w:t xml:space="preserve"> </w:t>
      </w:r>
      <w:r w:rsidRPr="0029503B">
        <w:rPr>
          <w:sz w:val="22"/>
          <w:szCs w:val="22"/>
        </w:rPr>
        <w:t>para</w:t>
      </w:r>
      <w:r w:rsidRPr="0029503B" w:rsidR="007B265B">
        <w:rPr>
          <w:sz w:val="22"/>
          <w:szCs w:val="22"/>
        </w:rPr>
        <w:t xml:space="preserve"> </w:t>
      </w:r>
      <w:r w:rsidRPr="0029503B">
        <w:rPr>
          <w:sz w:val="22"/>
          <w:szCs w:val="22"/>
        </w:rPr>
        <w:t>comprender</w:t>
      </w:r>
      <w:r w:rsidRPr="0029503B" w:rsidR="007B265B">
        <w:rPr>
          <w:sz w:val="22"/>
          <w:szCs w:val="22"/>
        </w:rPr>
        <w:t xml:space="preserve"> </w:t>
      </w:r>
      <w:r w:rsidRPr="0029503B">
        <w:rPr>
          <w:sz w:val="22"/>
          <w:szCs w:val="22"/>
        </w:rPr>
        <w:t>cómo</w:t>
      </w:r>
      <w:r w:rsidRPr="0029503B" w:rsidR="007B265B">
        <w:rPr>
          <w:sz w:val="22"/>
          <w:szCs w:val="22"/>
        </w:rPr>
        <w:t xml:space="preserve"> </w:t>
      </w:r>
      <w:r w:rsidRPr="0029503B">
        <w:rPr>
          <w:sz w:val="22"/>
          <w:szCs w:val="22"/>
        </w:rPr>
        <w:t>determinadas</w:t>
      </w:r>
      <w:r w:rsidRPr="0029503B" w:rsidR="007B265B">
        <w:rPr>
          <w:sz w:val="22"/>
          <w:szCs w:val="22"/>
        </w:rPr>
        <w:t xml:space="preserve"> </w:t>
      </w:r>
      <w:r w:rsidRPr="0029503B">
        <w:rPr>
          <w:sz w:val="22"/>
          <w:szCs w:val="22"/>
        </w:rPr>
        <w:t>decisiones</w:t>
      </w:r>
      <w:r w:rsidRPr="0029503B" w:rsidR="007B265B">
        <w:rPr>
          <w:sz w:val="22"/>
          <w:szCs w:val="22"/>
        </w:rPr>
        <w:t xml:space="preserve"> </w:t>
      </w:r>
      <w:r w:rsidRPr="0029503B">
        <w:rPr>
          <w:sz w:val="22"/>
          <w:szCs w:val="22"/>
        </w:rPr>
        <w:t>institucionales,</w:t>
      </w:r>
      <w:r w:rsidRPr="0029503B" w:rsidR="007B265B">
        <w:rPr>
          <w:sz w:val="22"/>
          <w:szCs w:val="22"/>
        </w:rPr>
        <w:t xml:space="preserve"> </w:t>
      </w:r>
      <w:r w:rsidRPr="0029503B">
        <w:rPr>
          <w:sz w:val="22"/>
          <w:szCs w:val="22"/>
        </w:rPr>
        <w:t>fallas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gobernanza</w:t>
      </w:r>
      <w:r w:rsidRPr="0029503B" w:rsidR="007B265B">
        <w:rPr>
          <w:sz w:val="22"/>
          <w:szCs w:val="22"/>
        </w:rPr>
        <w:t xml:space="preserve"> </w:t>
      </w:r>
      <w:r w:rsidRPr="0029503B">
        <w:rPr>
          <w:sz w:val="22"/>
          <w:szCs w:val="22"/>
        </w:rPr>
        <w:t>o</w:t>
      </w:r>
      <w:r w:rsidRPr="0029503B" w:rsidR="007B265B">
        <w:rPr>
          <w:sz w:val="22"/>
          <w:szCs w:val="22"/>
        </w:rPr>
        <w:t xml:space="preserve"> </w:t>
      </w:r>
      <w:r w:rsidRPr="0029503B">
        <w:rPr>
          <w:sz w:val="22"/>
          <w:szCs w:val="22"/>
        </w:rPr>
        <w:t>debilidades</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sistemas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control</w:t>
      </w:r>
      <w:r w:rsidRPr="0029503B" w:rsidR="007B265B">
        <w:rPr>
          <w:sz w:val="22"/>
          <w:szCs w:val="22"/>
        </w:rPr>
        <w:t xml:space="preserve"> </w:t>
      </w:r>
      <w:r w:rsidRPr="0029503B">
        <w:rPr>
          <w:sz w:val="22"/>
          <w:szCs w:val="22"/>
        </w:rPr>
        <w:t>pueden</w:t>
      </w:r>
      <w:r w:rsidRPr="0029503B" w:rsidR="007B265B">
        <w:rPr>
          <w:sz w:val="22"/>
          <w:szCs w:val="22"/>
        </w:rPr>
        <w:t xml:space="preserve"> </w:t>
      </w:r>
      <w:r w:rsidRPr="0029503B">
        <w:rPr>
          <w:sz w:val="22"/>
          <w:szCs w:val="22"/>
        </w:rPr>
        <w:t>derivar</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crisis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gran</w:t>
      </w:r>
      <w:r w:rsidRPr="0029503B" w:rsidR="007B265B">
        <w:rPr>
          <w:sz w:val="22"/>
          <w:szCs w:val="22"/>
        </w:rPr>
        <w:t xml:space="preserve"> </w:t>
      </w:r>
      <w:r w:rsidRPr="0029503B">
        <w:rPr>
          <w:sz w:val="22"/>
          <w:szCs w:val="22"/>
        </w:rPr>
        <w:t>escala.</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sectores</w:t>
      </w:r>
      <w:r w:rsidRPr="0029503B" w:rsidR="007B265B">
        <w:rPr>
          <w:sz w:val="22"/>
          <w:szCs w:val="22"/>
        </w:rPr>
        <w:t xml:space="preserve"> </w:t>
      </w:r>
      <w:r w:rsidRPr="0029503B">
        <w:rPr>
          <w:sz w:val="22"/>
          <w:szCs w:val="22"/>
        </w:rPr>
        <w:t>complejos</w:t>
      </w:r>
      <w:r w:rsidRPr="0029503B" w:rsidR="007B265B">
        <w:rPr>
          <w:sz w:val="22"/>
          <w:szCs w:val="22"/>
        </w:rPr>
        <w:t xml:space="preserve"> </w:t>
      </w:r>
      <w:r w:rsidRPr="0029503B">
        <w:rPr>
          <w:sz w:val="22"/>
          <w:szCs w:val="22"/>
        </w:rPr>
        <w:t>y</w:t>
      </w:r>
      <w:r w:rsidRPr="0029503B" w:rsidR="007B265B">
        <w:rPr>
          <w:sz w:val="22"/>
          <w:szCs w:val="22"/>
        </w:rPr>
        <w:t xml:space="preserve"> </w:t>
      </w:r>
      <w:r w:rsidRPr="0029503B">
        <w:rPr>
          <w:sz w:val="22"/>
          <w:szCs w:val="22"/>
        </w:rPr>
        <w:t>altamente</w:t>
      </w:r>
      <w:r w:rsidRPr="0029503B" w:rsidR="007B265B">
        <w:rPr>
          <w:sz w:val="22"/>
          <w:szCs w:val="22"/>
        </w:rPr>
        <w:t xml:space="preserve"> </w:t>
      </w:r>
      <w:r w:rsidRPr="0029503B">
        <w:rPr>
          <w:sz w:val="22"/>
          <w:szCs w:val="22"/>
        </w:rPr>
        <w:t>regulados</w:t>
      </w:r>
      <w:r w:rsidRPr="0029503B" w:rsidR="00E576B7">
        <w:rPr>
          <w:sz w:val="22"/>
          <w:szCs w:val="22"/>
        </w:rPr>
        <w:t xml:space="preserve">, </w:t>
      </w:r>
      <w:r w:rsidRPr="0029503B" w:rsidR="00AD7023">
        <w:rPr>
          <w:sz w:val="22"/>
          <w:szCs w:val="22"/>
        </w:rPr>
        <w:t>como,</w:t>
      </w:r>
      <w:r w:rsidRPr="0029503B" w:rsidR="007B265B">
        <w:rPr>
          <w:sz w:val="22"/>
          <w:szCs w:val="22"/>
        </w:rPr>
        <w:t xml:space="preserve"> por ejemplo</w:t>
      </w:r>
      <w:r w:rsidRPr="0029503B" w:rsidR="00E576B7">
        <w:rPr>
          <w:sz w:val="22"/>
          <w:szCs w:val="22"/>
        </w:rPr>
        <w:t>,</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proyectos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energía,</w:t>
      </w:r>
      <w:r w:rsidRPr="0029503B" w:rsidR="007B265B">
        <w:rPr>
          <w:sz w:val="22"/>
          <w:szCs w:val="22"/>
        </w:rPr>
        <w:t xml:space="preserve"> </w:t>
      </w:r>
      <w:r w:rsidRPr="0029503B">
        <w:rPr>
          <w:sz w:val="22"/>
          <w:szCs w:val="22"/>
        </w:rPr>
        <w:t>las</w:t>
      </w:r>
      <w:r w:rsidRPr="0029503B" w:rsidR="007B265B">
        <w:rPr>
          <w:sz w:val="22"/>
          <w:szCs w:val="22"/>
        </w:rPr>
        <w:t xml:space="preserve"> </w:t>
      </w:r>
      <w:r w:rsidRPr="0029503B">
        <w:rPr>
          <w:sz w:val="22"/>
          <w:szCs w:val="22"/>
        </w:rPr>
        <w:t>grandes</w:t>
      </w:r>
      <w:r w:rsidRPr="0029503B" w:rsidR="007B265B">
        <w:rPr>
          <w:sz w:val="22"/>
          <w:szCs w:val="22"/>
        </w:rPr>
        <w:t xml:space="preserve"> </w:t>
      </w:r>
      <w:r w:rsidRPr="0029503B">
        <w:rPr>
          <w:sz w:val="22"/>
          <w:szCs w:val="22"/>
        </w:rPr>
        <w:t>iniciativas</w:t>
      </w:r>
      <w:r w:rsidRPr="0029503B" w:rsidR="007B265B">
        <w:rPr>
          <w:sz w:val="22"/>
          <w:szCs w:val="22"/>
        </w:rPr>
        <w:t xml:space="preserve"> </w:t>
      </w:r>
      <w:r w:rsidRPr="0029503B" w:rsidR="00E576B7">
        <w:rPr>
          <w:sz w:val="22"/>
          <w:szCs w:val="22"/>
        </w:rPr>
        <w:t xml:space="preserve">y programas </w:t>
      </w:r>
      <w:r w:rsidRPr="0029503B">
        <w:rPr>
          <w:sz w:val="22"/>
          <w:szCs w:val="22"/>
        </w:rPr>
        <w:t>de</w:t>
      </w:r>
      <w:r w:rsidRPr="0029503B" w:rsidR="007B265B">
        <w:rPr>
          <w:sz w:val="22"/>
          <w:szCs w:val="22"/>
        </w:rPr>
        <w:t xml:space="preserve"> </w:t>
      </w:r>
      <w:r w:rsidRPr="0029503B">
        <w:rPr>
          <w:sz w:val="22"/>
          <w:szCs w:val="22"/>
        </w:rPr>
        <w:t>infraestructura,</w:t>
      </w:r>
      <w:r w:rsidRPr="0029503B" w:rsidR="007B265B">
        <w:rPr>
          <w:sz w:val="22"/>
          <w:szCs w:val="22"/>
        </w:rPr>
        <w:t xml:space="preserve"> </w:t>
      </w:r>
      <w:r w:rsidRPr="0029503B">
        <w:rPr>
          <w:sz w:val="22"/>
          <w:szCs w:val="22"/>
        </w:rPr>
        <w:t>las</w:t>
      </w:r>
      <w:r w:rsidRPr="0029503B" w:rsidR="007B265B">
        <w:rPr>
          <w:sz w:val="22"/>
          <w:szCs w:val="22"/>
        </w:rPr>
        <w:t xml:space="preserve"> </w:t>
      </w:r>
      <w:r w:rsidRPr="0029503B">
        <w:rPr>
          <w:sz w:val="22"/>
          <w:szCs w:val="22"/>
        </w:rPr>
        <w:t>crisis</w:t>
      </w:r>
      <w:r w:rsidRPr="0029503B" w:rsidR="007B265B">
        <w:rPr>
          <w:sz w:val="22"/>
          <w:szCs w:val="22"/>
        </w:rPr>
        <w:t xml:space="preserve"> </w:t>
      </w:r>
      <w:r w:rsidRPr="0029503B">
        <w:rPr>
          <w:sz w:val="22"/>
          <w:szCs w:val="22"/>
        </w:rPr>
        <w:t>sanitarias,</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escándalos</w:t>
      </w:r>
      <w:r w:rsidRPr="0029503B" w:rsidR="007B265B">
        <w:rPr>
          <w:sz w:val="22"/>
          <w:szCs w:val="22"/>
        </w:rPr>
        <w:t xml:space="preserve"> </w:t>
      </w:r>
      <w:r w:rsidRPr="0029503B">
        <w:rPr>
          <w:sz w:val="22"/>
          <w:szCs w:val="22"/>
        </w:rPr>
        <w:t>regulatorios</w:t>
      </w:r>
      <w:r w:rsidRPr="0029503B" w:rsidR="007B265B">
        <w:rPr>
          <w:sz w:val="22"/>
          <w:szCs w:val="22"/>
        </w:rPr>
        <w:t xml:space="preserve"> </w:t>
      </w:r>
      <w:r w:rsidRPr="0029503B">
        <w:rPr>
          <w:sz w:val="22"/>
          <w:szCs w:val="22"/>
        </w:rPr>
        <w:t>o</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programas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subsidios</w:t>
      </w:r>
      <w:r w:rsidRPr="0029503B" w:rsidR="007B265B">
        <w:rPr>
          <w:sz w:val="22"/>
          <w:szCs w:val="22"/>
        </w:rPr>
        <w:t xml:space="preserve"> </w:t>
      </w:r>
      <w:r w:rsidRPr="0029503B">
        <w:rPr>
          <w:sz w:val="22"/>
          <w:szCs w:val="22"/>
        </w:rPr>
        <w:t>susceptibles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captura</w:t>
      </w:r>
      <w:r w:rsidRPr="0029503B" w:rsidR="007B265B">
        <w:rPr>
          <w:sz w:val="22"/>
          <w:szCs w:val="22"/>
        </w:rPr>
        <w:t xml:space="preserve"> </w:t>
      </w:r>
      <w:r w:rsidRPr="0029503B">
        <w:rPr>
          <w:sz w:val="22"/>
          <w:szCs w:val="22"/>
        </w:rPr>
        <w:t>institucional</w:t>
      </w:r>
      <w:r w:rsidRPr="0029503B" w:rsidR="00AD7023">
        <w:rPr>
          <w:sz w:val="22"/>
          <w:szCs w:val="22"/>
        </w:rPr>
        <w:t>,</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riesgos</w:t>
      </w:r>
      <w:r w:rsidRPr="0029503B" w:rsidR="007B265B">
        <w:rPr>
          <w:sz w:val="22"/>
          <w:szCs w:val="22"/>
        </w:rPr>
        <w:t xml:space="preserve"> </w:t>
      </w:r>
      <w:r w:rsidRPr="0029503B">
        <w:rPr>
          <w:sz w:val="22"/>
          <w:szCs w:val="22"/>
        </w:rPr>
        <w:t>rara</w:t>
      </w:r>
      <w:r w:rsidRPr="0029503B" w:rsidR="007B265B">
        <w:rPr>
          <w:sz w:val="22"/>
          <w:szCs w:val="22"/>
        </w:rPr>
        <w:t xml:space="preserve"> </w:t>
      </w:r>
      <w:r w:rsidRPr="0029503B">
        <w:rPr>
          <w:sz w:val="22"/>
          <w:szCs w:val="22"/>
        </w:rPr>
        <w:t>vez</w:t>
      </w:r>
      <w:r w:rsidRPr="0029503B" w:rsidR="007B265B">
        <w:rPr>
          <w:sz w:val="22"/>
          <w:szCs w:val="22"/>
        </w:rPr>
        <w:t xml:space="preserve"> </w:t>
      </w:r>
      <w:r w:rsidRPr="0029503B">
        <w:rPr>
          <w:sz w:val="22"/>
          <w:szCs w:val="22"/>
        </w:rPr>
        <w:t>se</w:t>
      </w:r>
      <w:r w:rsidRPr="0029503B" w:rsidR="007B265B">
        <w:rPr>
          <w:sz w:val="22"/>
          <w:szCs w:val="22"/>
        </w:rPr>
        <w:t xml:space="preserve"> </w:t>
      </w:r>
      <w:r w:rsidRPr="0029503B">
        <w:rPr>
          <w:sz w:val="22"/>
          <w:szCs w:val="22"/>
        </w:rPr>
        <w:t>originan</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un</w:t>
      </w:r>
      <w:r w:rsidRPr="0029503B" w:rsidR="007B265B">
        <w:rPr>
          <w:sz w:val="22"/>
          <w:szCs w:val="22"/>
        </w:rPr>
        <w:t xml:space="preserve"> </w:t>
      </w:r>
      <w:r w:rsidRPr="0029503B">
        <w:rPr>
          <w:sz w:val="22"/>
          <w:szCs w:val="22"/>
        </w:rPr>
        <w:t>único</w:t>
      </w:r>
      <w:r w:rsidRPr="0029503B" w:rsidR="007B265B">
        <w:rPr>
          <w:sz w:val="22"/>
          <w:szCs w:val="22"/>
        </w:rPr>
        <w:t xml:space="preserve"> </w:t>
      </w:r>
      <w:r w:rsidRPr="0029503B">
        <w:rPr>
          <w:sz w:val="22"/>
          <w:szCs w:val="22"/>
        </w:rPr>
        <w:t>evento,</w:t>
      </w:r>
      <w:r w:rsidRPr="0029503B" w:rsidR="007B265B">
        <w:rPr>
          <w:sz w:val="22"/>
          <w:szCs w:val="22"/>
        </w:rPr>
        <w:t xml:space="preserve"> </w:t>
      </w:r>
      <w:r w:rsidRPr="0029503B">
        <w:rPr>
          <w:sz w:val="22"/>
          <w:szCs w:val="22"/>
        </w:rPr>
        <w:t>sino</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la</w:t>
      </w:r>
      <w:r w:rsidRPr="0029503B" w:rsidR="007B265B">
        <w:rPr>
          <w:sz w:val="22"/>
          <w:szCs w:val="22"/>
        </w:rPr>
        <w:t xml:space="preserve"> </w:t>
      </w:r>
      <w:r w:rsidRPr="0029503B">
        <w:rPr>
          <w:sz w:val="22"/>
          <w:szCs w:val="22"/>
        </w:rPr>
        <w:t>acumulación</w:t>
      </w:r>
      <w:r w:rsidRPr="0029503B" w:rsidR="007B265B">
        <w:rPr>
          <w:sz w:val="22"/>
          <w:szCs w:val="22"/>
        </w:rPr>
        <w:t xml:space="preserve"> </w:t>
      </w:r>
      <w:r w:rsidRPr="0029503B">
        <w:rPr>
          <w:sz w:val="22"/>
          <w:szCs w:val="22"/>
        </w:rPr>
        <w:t>progresiva</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desviaciones,</w:t>
      </w:r>
      <w:r w:rsidRPr="0029503B" w:rsidR="007B265B">
        <w:rPr>
          <w:sz w:val="22"/>
          <w:szCs w:val="22"/>
        </w:rPr>
        <w:t xml:space="preserve"> </w:t>
      </w:r>
      <w:r w:rsidRPr="0029503B">
        <w:rPr>
          <w:sz w:val="22"/>
          <w:szCs w:val="22"/>
        </w:rPr>
        <w:t>incentivos</w:t>
      </w:r>
      <w:r w:rsidRPr="0029503B" w:rsidR="007B265B">
        <w:rPr>
          <w:sz w:val="22"/>
          <w:szCs w:val="22"/>
        </w:rPr>
        <w:t xml:space="preserve"> </w:t>
      </w:r>
      <w:r w:rsidRPr="0029503B">
        <w:rPr>
          <w:sz w:val="22"/>
          <w:szCs w:val="22"/>
        </w:rPr>
        <w:t>mal</w:t>
      </w:r>
      <w:r w:rsidRPr="0029503B" w:rsidR="007B265B">
        <w:rPr>
          <w:sz w:val="22"/>
          <w:szCs w:val="22"/>
        </w:rPr>
        <w:t xml:space="preserve"> </w:t>
      </w:r>
      <w:r w:rsidRPr="0029503B">
        <w:rPr>
          <w:sz w:val="22"/>
          <w:szCs w:val="22"/>
        </w:rPr>
        <w:t>alineados</w:t>
      </w:r>
      <w:r w:rsidRPr="0029503B" w:rsidR="007B265B">
        <w:rPr>
          <w:sz w:val="22"/>
          <w:szCs w:val="22"/>
        </w:rPr>
        <w:t xml:space="preserve"> </w:t>
      </w:r>
      <w:r w:rsidRPr="0029503B">
        <w:rPr>
          <w:sz w:val="22"/>
          <w:szCs w:val="22"/>
        </w:rPr>
        <w:t>y</w:t>
      </w:r>
      <w:r w:rsidRPr="0029503B" w:rsidR="007B265B">
        <w:rPr>
          <w:sz w:val="22"/>
          <w:szCs w:val="22"/>
        </w:rPr>
        <w:t xml:space="preserve"> </w:t>
      </w:r>
      <w:r w:rsidRPr="0029503B">
        <w:rPr>
          <w:sz w:val="22"/>
          <w:szCs w:val="22"/>
        </w:rPr>
        <w:t>fallas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supervisión.</w:t>
      </w:r>
      <w:r w:rsidRPr="0029503B" w:rsidR="007B265B">
        <w:rPr>
          <w:sz w:val="22"/>
          <w:szCs w:val="22"/>
        </w:rPr>
        <w:t xml:space="preserve"> </w:t>
      </w:r>
      <w:r w:rsidRPr="0029503B" w:rsidR="00AD7023">
        <w:rPr>
          <w:sz w:val="22"/>
          <w:szCs w:val="22"/>
        </w:rPr>
        <w:t>Esta combinación de factores sumado</w:t>
      </w:r>
      <w:r w:rsidRPr="0029503B" w:rsidR="003C61C0">
        <w:rPr>
          <w:sz w:val="22"/>
          <w:szCs w:val="22"/>
        </w:rPr>
        <w:t>s</w:t>
      </w:r>
      <w:r w:rsidRPr="0029503B" w:rsidR="00AD7023">
        <w:rPr>
          <w:sz w:val="22"/>
          <w:szCs w:val="22"/>
        </w:rPr>
        <w:t xml:space="preserve"> a la incertidumbre</w:t>
      </w:r>
      <w:r w:rsidRPr="0029503B" w:rsidR="003C61C0">
        <w:rPr>
          <w:sz w:val="22"/>
          <w:szCs w:val="22"/>
        </w:rPr>
        <w:t>,</w:t>
      </w:r>
      <w:r w:rsidRPr="0029503B" w:rsidR="00AD7023">
        <w:rPr>
          <w:sz w:val="22"/>
          <w:szCs w:val="22"/>
        </w:rPr>
        <w:t xml:space="preserve"> </w:t>
      </w:r>
      <w:r w:rsidRPr="0029503B" w:rsidR="00ED43A9">
        <w:rPr>
          <w:sz w:val="22"/>
          <w:szCs w:val="22"/>
        </w:rPr>
        <w:t xml:space="preserve">derivan muchas veces en catástrofes institucionales que </w:t>
      </w:r>
      <w:r w:rsidRPr="0029503B" w:rsidR="00336E51">
        <w:rPr>
          <w:sz w:val="22"/>
          <w:szCs w:val="22"/>
        </w:rPr>
        <w:t xml:space="preserve">cobran vidas y además </w:t>
      </w:r>
      <w:r w:rsidRPr="0029503B" w:rsidR="003C61C0">
        <w:rPr>
          <w:sz w:val="22"/>
          <w:szCs w:val="22"/>
        </w:rPr>
        <w:t>generan</w:t>
      </w:r>
      <w:r w:rsidRPr="0029503B" w:rsidR="00336E51">
        <w:rPr>
          <w:sz w:val="22"/>
          <w:szCs w:val="22"/>
        </w:rPr>
        <w:t xml:space="preserve"> impactos económicos.</w:t>
      </w:r>
    </w:p>
    <w:p w:rsidRPr="0029503B" w:rsidR="0017249C" w:rsidP="006841F1" w:rsidRDefault="006841F1" w14:paraId="146FF705" w14:textId="5EB3D6BB">
      <w:pPr>
        <w:jc w:val="both"/>
        <w:rPr>
          <w:sz w:val="22"/>
          <w:szCs w:val="22"/>
        </w:rPr>
      </w:pPr>
      <w:r w:rsidRPr="0029503B">
        <w:rPr>
          <w:sz w:val="22"/>
          <w:szCs w:val="22"/>
        </w:rPr>
        <w:t>Examinar</w:t>
      </w:r>
      <w:r w:rsidRPr="0029503B" w:rsidR="007B265B">
        <w:rPr>
          <w:sz w:val="22"/>
          <w:szCs w:val="22"/>
        </w:rPr>
        <w:t xml:space="preserve"> </w:t>
      </w:r>
      <w:r w:rsidRPr="0029503B">
        <w:rPr>
          <w:sz w:val="22"/>
          <w:szCs w:val="22"/>
        </w:rPr>
        <w:t>estos</w:t>
      </w:r>
      <w:r w:rsidRPr="0029503B" w:rsidR="007B265B">
        <w:rPr>
          <w:sz w:val="22"/>
          <w:szCs w:val="22"/>
        </w:rPr>
        <w:t xml:space="preserve"> </w:t>
      </w:r>
      <w:r w:rsidRPr="0029503B">
        <w:rPr>
          <w:sz w:val="22"/>
          <w:szCs w:val="22"/>
        </w:rPr>
        <w:t>casos</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el</w:t>
      </w:r>
      <w:r w:rsidRPr="0029503B" w:rsidR="007B265B">
        <w:rPr>
          <w:sz w:val="22"/>
          <w:szCs w:val="22"/>
        </w:rPr>
        <w:t xml:space="preserve"> </w:t>
      </w:r>
      <w:r w:rsidRPr="0029503B">
        <w:rPr>
          <w:sz w:val="22"/>
          <w:szCs w:val="22"/>
        </w:rPr>
        <w:t>contexto</w:t>
      </w:r>
      <w:r w:rsidRPr="0029503B" w:rsidR="007B265B">
        <w:rPr>
          <w:sz w:val="22"/>
          <w:szCs w:val="22"/>
        </w:rPr>
        <w:t xml:space="preserve"> </w:t>
      </w:r>
      <w:r w:rsidRPr="0029503B">
        <w:rPr>
          <w:sz w:val="22"/>
          <w:szCs w:val="22"/>
        </w:rPr>
        <w:t>internacional</w:t>
      </w:r>
      <w:r w:rsidRPr="0029503B" w:rsidR="007B265B">
        <w:rPr>
          <w:sz w:val="22"/>
          <w:szCs w:val="22"/>
        </w:rPr>
        <w:t xml:space="preserve"> </w:t>
      </w:r>
      <w:r w:rsidRPr="0029503B">
        <w:rPr>
          <w:sz w:val="22"/>
          <w:szCs w:val="22"/>
        </w:rPr>
        <w:t>permite</w:t>
      </w:r>
      <w:r w:rsidRPr="0029503B" w:rsidR="007B265B">
        <w:rPr>
          <w:sz w:val="22"/>
          <w:szCs w:val="22"/>
        </w:rPr>
        <w:t xml:space="preserve"> </w:t>
      </w:r>
      <w:r w:rsidRPr="0029503B">
        <w:rPr>
          <w:sz w:val="22"/>
          <w:szCs w:val="22"/>
        </w:rPr>
        <w:t>identificar</w:t>
      </w:r>
      <w:r w:rsidRPr="0029503B" w:rsidR="007B265B">
        <w:rPr>
          <w:sz w:val="22"/>
          <w:szCs w:val="22"/>
        </w:rPr>
        <w:t xml:space="preserve"> </w:t>
      </w:r>
      <w:r w:rsidRPr="0029503B">
        <w:rPr>
          <w:sz w:val="22"/>
          <w:szCs w:val="22"/>
        </w:rPr>
        <w:t>patrones</w:t>
      </w:r>
      <w:r w:rsidRPr="0029503B" w:rsidR="007B265B">
        <w:rPr>
          <w:sz w:val="22"/>
          <w:szCs w:val="22"/>
        </w:rPr>
        <w:t xml:space="preserve"> </w:t>
      </w:r>
      <w:r w:rsidRPr="0029503B">
        <w:rPr>
          <w:sz w:val="22"/>
          <w:szCs w:val="22"/>
        </w:rPr>
        <w:t>recurrentes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riesgo,</w:t>
      </w:r>
      <w:r w:rsidRPr="0029503B" w:rsidR="007B265B">
        <w:rPr>
          <w:sz w:val="22"/>
          <w:szCs w:val="22"/>
        </w:rPr>
        <w:t xml:space="preserve"> </w:t>
      </w:r>
      <w:r w:rsidRPr="0029503B">
        <w:rPr>
          <w:sz w:val="22"/>
          <w:szCs w:val="22"/>
        </w:rPr>
        <w:t>comprender</w:t>
      </w:r>
      <w:r w:rsidRPr="0029503B" w:rsidR="007B265B">
        <w:rPr>
          <w:sz w:val="22"/>
          <w:szCs w:val="22"/>
        </w:rPr>
        <w:t xml:space="preserve"> </w:t>
      </w:r>
      <w:r w:rsidRPr="0029503B">
        <w:rPr>
          <w:sz w:val="22"/>
          <w:szCs w:val="22"/>
        </w:rPr>
        <w:t>las</w:t>
      </w:r>
      <w:r w:rsidRPr="0029503B" w:rsidR="007B265B">
        <w:rPr>
          <w:sz w:val="22"/>
          <w:szCs w:val="22"/>
        </w:rPr>
        <w:t xml:space="preserve"> </w:t>
      </w:r>
      <w:r w:rsidRPr="0029503B">
        <w:rPr>
          <w:sz w:val="22"/>
          <w:szCs w:val="22"/>
        </w:rPr>
        <w:t>dinámicas</w:t>
      </w:r>
      <w:r w:rsidRPr="0029503B" w:rsidR="007B265B">
        <w:rPr>
          <w:sz w:val="22"/>
          <w:szCs w:val="22"/>
        </w:rPr>
        <w:t xml:space="preserve"> </w:t>
      </w:r>
      <w:r w:rsidRPr="0029503B">
        <w:rPr>
          <w:sz w:val="22"/>
          <w:szCs w:val="22"/>
        </w:rPr>
        <w:t>organizacionales</w:t>
      </w:r>
      <w:r w:rsidRPr="0029503B" w:rsidR="007B265B">
        <w:rPr>
          <w:sz w:val="22"/>
          <w:szCs w:val="22"/>
        </w:rPr>
        <w:t xml:space="preserve"> </w:t>
      </w:r>
      <w:r w:rsidRPr="0029503B">
        <w:rPr>
          <w:sz w:val="22"/>
          <w:szCs w:val="22"/>
        </w:rPr>
        <w:t>que</w:t>
      </w:r>
      <w:r w:rsidRPr="0029503B" w:rsidR="007B265B">
        <w:rPr>
          <w:sz w:val="22"/>
          <w:szCs w:val="22"/>
        </w:rPr>
        <w:t xml:space="preserve"> </w:t>
      </w:r>
      <w:r w:rsidRPr="0029503B">
        <w:rPr>
          <w:sz w:val="22"/>
          <w:szCs w:val="22"/>
        </w:rPr>
        <w:t>preceden</w:t>
      </w:r>
      <w:r w:rsidRPr="0029503B" w:rsidR="007B265B">
        <w:rPr>
          <w:sz w:val="22"/>
          <w:szCs w:val="22"/>
        </w:rPr>
        <w:t xml:space="preserve"> </w:t>
      </w:r>
      <w:r w:rsidRPr="0029503B">
        <w:rPr>
          <w:sz w:val="22"/>
          <w:szCs w:val="22"/>
        </w:rPr>
        <w:t>a</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eventos</w:t>
      </w:r>
      <w:r w:rsidRPr="0029503B" w:rsidR="007B265B">
        <w:rPr>
          <w:sz w:val="22"/>
          <w:szCs w:val="22"/>
        </w:rPr>
        <w:t xml:space="preserve"> </w:t>
      </w:r>
      <w:r w:rsidRPr="0029503B">
        <w:rPr>
          <w:sz w:val="22"/>
          <w:szCs w:val="22"/>
        </w:rPr>
        <w:t>críticos</w:t>
      </w:r>
      <w:r w:rsidRPr="0029503B" w:rsidR="007B265B">
        <w:rPr>
          <w:sz w:val="22"/>
          <w:szCs w:val="22"/>
        </w:rPr>
        <w:t xml:space="preserve"> </w:t>
      </w:r>
      <w:r w:rsidRPr="0029503B">
        <w:rPr>
          <w:sz w:val="22"/>
          <w:szCs w:val="22"/>
        </w:rPr>
        <w:t>y</w:t>
      </w:r>
      <w:r w:rsidRPr="0029503B" w:rsidR="007B265B">
        <w:rPr>
          <w:sz w:val="22"/>
          <w:szCs w:val="22"/>
        </w:rPr>
        <w:t xml:space="preserve"> </w:t>
      </w:r>
      <w:r w:rsidRPr="0029503B">
        <w:rPr>
          <w:sz w:val="22"/>
          <w:szCs w:val="22"/>
        </w:rPr>
        <w:t>extraer</w:t>
      </w:r>
      <w:r w:rsidRPr="0029503B" w:rsidR="007B265B">
        <w:rPr>
          <w:sz w:val="22"/>
          <w:szCs w:val="22"/>
        </w:rPr>
        <w:t xml:space="preserve"> </w:t>
      </w:r>
      <w:r w:rsidRPr="0029503B">
        <w:rPr>
          <w:sz w:val="22"/>
          <w:szCs w:val="22"/>
        </w:rPr>
        <w:t>lecciones</w:t>
      </w:r>
      <w:r w:rsidRPr="0029503B" w:rsidR="007B265B">
        <w:rPr>
          <w:sz w:val="22"/>
          <w:szCs w:val="22"/>
        </w:rPr>
        <w:t xml:space="preserve"> </w:t>
      </w:r>
      <w:r w:rsidRPr="0029503B">
        <w:rPr>
          <w:sz w:val="22"/>
          <w:szCs w:val="22"/>
        </w:rPr>
        <w:t>relevantes</w:t>
      </w:r>
      <w:r w:rsidRPr="0029503B" w:rsidR="007B265B">
        <w:rPr>
          <w:sz w:val="22"/>
          <w:szCs w:val="22"/>
        </w:rPr>
        <w:t xml:space="preserve"> </w:t>
      </w:r>
      <w:r w:rsidRPr="0029503B">
        <w:rPr>
          <w:sz w:val="22"/>
          <w:szCs w:val="22"/>
        </w:rPr>
        <w:t>para</w:t>
      </w:r>
      <w:r w:rsidRPr="0029503B" w:rsidR="007B265B">
        <w:rPr>
          <w:sz w:val="22"/>
          <w:szCs w:val="22"/>
        </w:rPr>
        <w:t xml:space="preserve"> </w:t>
      </w:r>
      <w:r w:rsidRPr="0029503B">
        <w:rPr>
          <w:sz w:val="22"/>
          <w:szCs w:val="22"/>
        </w:rPr>
        <w:t>fortalecer</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mecanismos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prevención,</w:t>
      </w:r>
      <w:r w:rsidRPr="0029503B" w:rsidR="007B265B">
        <w:rPr>
          <w:sz w:val="22"/>
          <w:szCs w:val="22"/>
        </w:rPr>
        <w:t xml:space="preserve"> </w:t>
      </w:r>
      <w:r w:rsidRPr="0029503B">
        <w:rPr>
          <w:sz w:val="22"/>
          <w:szCs w:val="22"/>
        </w:rPr>
        <w:t>transparencia</w:t>
      </w:r>
      <w:r w:rsidRPr="0029503B" w:rsidR="007B265B">
        <w:rPr>
          <w:sz w:val="22"/>
          <w:szCs w:val="22"/>
        </w:rPr>
        <w:t xml:space="preserve"> </w:t>
      </w:r>
      <w:r w:rsidRPr="0029503B">
        <w:rPr>
          <w:sz w:val="22"/>
          <w:szCs w:val="22"/>
        </w:rPr>
        <w:t>y</w:t>
      </w:r>
      <w:r w:rsidRPr="0029503B" w:rsidR="007B265B">
        <w:rPr>
          <w:sz w:val="22"/>
          <w:szCs w:val="22"/>
        </w:rPr>
        <w:t xml:space="preserve"> </w:t>
      </w:r>
      <w:r w:rsidRPr="0029503B">
        <w:rPr>
          <w:sz w:val="22"/>
          <w:szCs w:val="22"/>
        </w:rPr>
        <w:t>control</w:t>
      </w:r>
      <w:r w:rsidRPr="0029503B" w:rsidR="0017249C">
        <w:rPr>
          <w:sz w:val="22"/>
          <w:szCs w:val="22"/>
        </w:rPr>
        <w:t xml:space="preserve"> relacionados con programas y proyectos de política pública en Colombia</w:t>
      </w:r>
      <w:r w:rsidRPr="0029503B">
        <w:rPr>
          <w:sz w:val="22"/>
          <w:szCs w:val="22"/>
        </w:rPr>
        <w:t>.</w:t>
      </w:r>
      <w:r w:rsidRPr="0029503B" w:rsidR="007B265B">
        <w:rPr>
          <w:sz w:val="22"/>
          <w:szCs w:val="22"/>
        </w:rPr>
        <w:t xml:space="preserve"> </w:t>
      </w:r>
    </w:p>
    <w:p w:rsidR="00271506" w:rsidP="00271506" w:rsidRDefault="006841F1" w14:paraId="2D446159" w14:textId="160BEB14">
      <w:pPr>
        <w:jc w:val="both"/>
        <w:rPr>
          <w:sz w:val="22"/>
          <w:szCs w:val="22"/>
        </w:rPr>
      </w:pPr>
      <w:r w:rsidRPr="0029503B">
        <w:rPr>
          <w:sz w:val="22"/>
          <w:szCs w:val="22"/>
        </w:rPr>
        <w:t>De</w:t>
      </w:r>
      <w:r w:rsidRPr="0029503B" w:rsidR="007B265B">
        <w:rPr>
          <w:sz w:val="22"/>
          <w:szCs w:val="22"/>
        </w:rPr>
        <w:t xml:space="preserve"> </w:t>
      </w:r>
      <w:r w:rsidRPr="0029503B">
        <w:rPr>
          <w:sz w:val="22"/>
          <w:szCs w:val="22"/>
        </w:rPr>
        <w:t>esta</w:t>
      </w:r>
      <w:r w:rsidRPr="0029503B" w:rsidR="007B265B">
        <w:rPr>
          <w:sz w:val="22"/>
          <w:szCs w:val="22"/>
        </w:rPr>
        <w:t xml:space="preserve"> </w:t>
      </w:r>
      <w:r w:rsidRPr="0029503B">
        <w:rPr>
          <w:sz w:val="22"/>
          <w:szCs w:val="22"/>
        </w:rPr>
        <w:t>manera,</w:t>
      </w:r>
      <w:r w:rsidRPr="0029503B" w:rsidR="007B265B">
        <w:rPr>
          <w:sz w:val="22"/>
          <w:szCs w:val="22"/>
        </w:rPr>
        <w:t xml:space="preserve"> </w:t>
      </w:r>
      <w:r w:rsidRPr="0029503B">
        <w:rPr>
          <w:sz w:val="22"/>
          <w:szCs w:val="22"/>
        </w:rPr>
        <w:t>el</w:t>
      </w:r>
      <w:r w:rsidRPr="0029503B" w:rsidR="007B265B">
        <w:rPr>
          <w:sz w:val="22"/>
          <w:szCs w:val="22"/>
        </w:rPr>
        <w:t xml:space="preserve"> </w:t>
      </w:r>
      <w:r w:rsidRPr="0029503B">
        <w:rPr>
          <w:sz w:val="22"/>
          <w:szCs w:val="22"/>
        </w:rPr>
        <w:t>estudio</w:t>
      </w:r>
      <w:r w:rsidRPr="0029503B" w:rsidR="007B265B">
        <w:rPr>
          <w:sz w:val="22"/>
          <w:szCs w:val="22"/>
        </w:rPr>
        <w:t xml:space="preserve"> </w:t>
      </w:r>
      <w:r w:rsidRPr="0029503B">
        <w:rPr>
          <w:sz w:val="22"/>
          <w:szCs w:val="22"/>
        </w:rPr>
        <w:t>comparado</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estas</w:t>
      </w:r>
      <w:r w:rsidRPr="0029503B" w:rsidR="007B265B">
        <w:rPr>
          <w:sz w:val="22"/>
          <w:szCs w:val="22"/>
        </w:rPr>
        <w:t xml:space="preserve"> </w:t>
      </w:r>
      <w:r w:rsidRPr="0029503B">
        <w:rPr>
          <w:sz w:val="22"/>
          <w:szCs w:val="22"/>
        </w:rPr>
        <w:t>experiencias</w:t>
      </w:r>
      <w:r w:rsidRPr="0029503B" w:rsidR="007B265B">
        <w:rPr>
          <w:sz w:val="22"/>
          <w:szCs w:val="22"/>
        </w:rPr>
        <w:t xml:space="preserve"> </w:t>
      </w:r>
      <w:r w:rsidRPr="0029503B">
        <w:rPr>
          <w:sz w:val="22"/>
          <w:szCs w:val="22"/>
        </w:rPr>
        <w:t>no</w:t>
      </w:r>
      <w:r w:rsidRPr="0029503B" w:rsidR="007B265B">
        <w:rPr>
          <w:sz w:val="22"/>
          <w:szCs w:val="22"/>
        </w:rPr>
        <w:t xml:space="preserve"> </w:t>
      </w:r>
      <w:r w:rsidRPr="0029503B">
        <w:rPr>
          <w:sz w:val="22"/>
          <w:szCs w:val="22"/>
        </w:rPr>
        <w:t>solo</w:t>
      </w:r>
      <w:r w:rsidRPr="0029503B" w:rsidR="007B265B">
        <w:rPr>
          <w:sz w:val="22"/>
          <w:szCs w:val="22"/>
        </w:rPr>
        <w:t xml:space="preserve"> </w:t>
      </w:r>
      <w:r w:rsidRPr="0029503B">
        <w:rPr>
          <w:sz w:val="22"/>
          <w:szCs w:val="22"/>
        </w:rPr>
        <w:t>aporta</w:t>
      </w:r>
      <w:r w:rsidRPr="0029503B" w:rsidR="007B265B">
        <w:rPr>
          <w:sz w:val="22"/>
          <w:szCs w:val="22"/>
        </w:rPr>
        <w:t xml:space="preserve"> </w:t>
      </w:r>
      <w:r w:rsidRPr="0029503B">
        <w:rPr>
          <w:sz w:val="22"/>
          <w:szCs w:val="22"/>
        </w:rPr>
        <w:t>evidencia</w:t>
      </w:r>
      <w:r w:rsidRPr="0029503B" w:rsidR="007B265B">
        <w:rPr>
          <w:sz w:val="22"/>
          <w:szCs w:val="22"/>
        </w:rPr>
        <w:t xml:space="preserve"> </w:t>
      </w:r>
      <w:r w:rsidRPr="0029503B">
        <w:rPr>
          <w:sz w:val="22"/>
          <w:szCs w:val="22"/>
        </w:rPr>
        <w:t>empírica</w:t>
      </w:r>
      <w:r w:rsidRPr="0029503B" w:rsidR="007B265B">
        <w:rPr>
          <w:sz w:val="22"/>
          <w:szCs w:val="22"/>
        </w:rPr>
        <w:t xml:space="preserve"> </w:t>
      </w:r>
      <w:r w:rsidRPr="0029503B">
        <w:rPr>
          <w:sz w:val="22"/>
          <w:szCs w:val="22"/>
        </w:rPr>
        <w:t>sobre</w:t>
      </w:r>
      <w:r w:rsidRPr="0029503B" w:rsidR="007B265B">
        <w:rPr>
          <w:sz w:val="22"/>
          <w:szCs w:val="22"/>
        </w:rPr>
        <w:t xml:space="preserve"> </w:t>
      </w:r>
      <w:r w:rsidRPr="0029503B">
        <w:rPr>
          <w:sz w:val="22"/>
          <w:szCs w:val="22"/>
        </w:rPr>
        <w:t>cómo</w:t>
      </w:r>
      <w:r w:rsidRPr="0029503B" w:rsidR="007B265B">
        <w:rPr>
          <w:sz w:val="22"/>
          <w:szCs w:val="22"/>
        </w:rPr>
        <w:t xml:space="preserve"> </w:t>
      </w:r>
      <w:r w:rsidRPr="0029503B">
        <w:rPr>
          <w:sz w:val="22"/>
          <w:szCs w:val="22"/>
        </w:rPr>
        <w:t>se</w:t>
      </w:r>
      <w:r w:rsidRPr="0029503B" w:rsidR="007B265B">
        <w:rPr>
          <w:sz w:val="22"/>
          <w:szCs w:val="22"/>
        </w:rPr>
        <w:t xml:space="preserve"> </w:t>
      </w:r>
      <w:r w:rsidRPr="0029503B">
        <w:rPr>
          <w:sz w:val="22"/>
          <w:szCs w:val="22"/>
        </w:rPr>
        <w:t>materializan</w:t>
      </w:r>
      <w:r w:rsidRPr="0029503B" w:rsidR="007B265B">
        <w:rPr>
          <w:sz w:val="22"/>
          <w:szCs w:val="22"/>
        </w:rPr>
        <w:t xml:space="preserve"> </w:t>
      </w:r>
      <w:r w:rsidRPr="0029503B">
        <w:rPr>
          <w:sz w:val="22"/>
          <w:szCs w:val="22"/>
        </w:rPr>
        <w:t>los</w:t>
      </w:r>
      <w:r w:rsidRPr="0029503B" w:rsidR="007B265B">
        <w:rPr>
          <w:sz w:val="22"/>
          <w:szCs w:val="22"/>
        </w:rPr>
        <w:t xml:space="preserve"> </w:t>
      </w:r>
      <w:r w:rsidRPr="0029503B">
        <w:rPr>
          <w:sz w:val="22"/>
          <w:szCs w:val="22"/>
        </w:rPr>
        <w:t>riesgos</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sistemas</w:t>
      </w:r>
      <w:r w:rsidRPr="0029503B" w:rsidR="007B265B">
        <w:rPr>
          <w:sz w:val="22"/>
          <w:szCs w:val="22"/>
        </w:rPr>
        <w:t xml:space="preserve"> </w:t>
      </w:r>
      <w:r w:rsidRPr="0029503B">
        <w:rPr>
          <w:sz w:val="22"/>
          <w:szCs w:val="22"/>
        </w:rPr>
        <w:t>complejos,</w:t>
      </w:r>
      <w:r w:rsidRPr="0029503B" w:rsidR="007B265B">
        <w:rPr>
          <w:sz w:val="22"/>
          <w:szCs w:val="22"/>
        </w:rPr>
        <w:t xml:space="preserve"> </w:t>
      </w:r>
      <w:r w:rsidRPr="0029503B">
        <w:rPr>
          <w:sz w:val="22"/>
          <w:szCs w:val="22"/>
        </w:rPr>
        <w:t>sino</w:t>
      </w:r>
      <w:r w:rsidRPr="0029503B" w:rsidR="007B265B">
        <w:rPr>
          <w:sz w:val="22"/>
          <w:szCs w:val="22"/>
        </w:rPr>
        <w:t xml:space="preserve"> </w:t>
      </w:r>
      <w:r w:rsidRPr="0029503B">
        <w:rPr>
          <w:sz w:val="22"/>
          <w:szCs w:val="22"/>
        </w:rPr>
        <w:t>que</w:t>
      </w:r>
      <w:r w:rsidRPr="0029503B" w:rsidR="007B265B">
        <w:rPr>
          <w:sz w:val="22"/>
          <w:szCs w:val="22"/>
        </w:rPr>
        <w:t xml:space="preserve"> </w:t>
      </w:r>
      <w:r w:rsidRPr="0029503B">
        <w:rPr>
          <w:sz w:val="22"/>
          <w:szCs w:val="22"/>
        </w:rPr>
        <w:t>también</w:t>
      </w:r>
      <w:r w:rsidRPr="0029503B" w:rsidR="007B265B">
        <w:rPr>
          <w:sz w:val="22"/>
          <w:szCs w:val="22"/>
        </w:rPr>
        <w:t xml:space="preserve"> </w:t>
      </w:r>
      <w:r w:rsidRPr="0029503B">
        <w:rPr>
          <w:sz w:val="22"/>
          <w:szCs w:val="22"/>
        </w:rPr>
        <w:t>contribuye</w:t>
      </w:r>
      <w:r w:rsidRPr="0029503B" w:rsidR="007B265B">
        <w:rPr>
          <w:sz w:val="22"/>
          <w:szCs w:val="22"/>
        </w:rPr>
        <w:t xml:space="preserve"> </w:t>
      </w:r>
      <w:r w:rsidRPr="0029503B">
        <w:rPr>
          <w:sz w:val="22"/>
          <w:szCs w:val="22"/>
        </w:rPr>
        <w:t>al</w:t>
      </w:r>
      <w:r w:rsidRPr="0029503B" w:rsidR="007B265B">
        <w:rPr>
          <w:sz w:val="22"/>
          <w:szCs w:val="22"/>
        </w:rPr>
        <w:t xml:space="preserve"> </w:t>
      </w:r>
      <w:r w:rsidRPr="0029503B">
        <w:rPr>
          <w:sz w:val="22"/>
          <w:szCs w:val="22"/>
        </w:rPr>
        <w:lastRenderedPageBreak/>
        <w:t>diseño</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marcos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gestión</w:t>
      </w:r>
      <w:r w:rsidRPr="0029503B" w:rsidR="007B265B">
        <w:rPr>
          <w:sz w:val="22"/>
          <w:szCs w:val="22"/>
        </w:rPr>
        <w:t xml:space="preserve"> </w:t>
      </w:r>
      <w:r w:rsidRPr="0029503B">
        <w:rPr>
          <w:sz w:val="22"/>
          <w:szCs w:val="22"/>
        </w:rPr>
        <w:t>más</w:t>
      </w:r>
      <w:r w:rsidRPr="0029503B" w:rsidR="007B265B">
        <w:rPr>
          <w:sz w:val="22"/>
          <w:szCs w:val="22"/>
        </w:rPr>
        <w:t xml:space="preserve"> </w:t>
      </w:r>
      <w:r w:rsidRPr="0029503B">
        <w:rPr>
          <w:sz w:val="22"/>
          <w:szCs w:val="22"/>
        </w:rPr>
        <w:t>robustos</w:t>
      </w:r>
      <w:r w:rsidRPr="0029503B" w:rsidR="007B265B">
        <w:rPr>
          <w:sz w:val="22"/>
          <w:szCs w:val="22"/>
        </w:rPr>
        <w:t xml:space="preserve"> </w:t>
      </w:r>
      <w:r w:rsidRPr="0029503B">
        <w:rPr>
          <w:sz w:val="22"/>
          <w:szCs w:val="22"/>
        </w:rPr>
        <w:t>capaces</w:t>
      </w:r>
      <w:r w:rsidRPr="0029503B" w:rsidR="007B265B">
        <w:rPr>
          <w:sz w:val="22"/>
          <w:szCs w:val="22"/>
        </w:rPr>
        <w:t xml:space="preserve"> </w:t>
      </w:r>
      <w:r w:rsidRPr="0029503B">
        <w:rPr>
          <w:sz w:val="22"/>
          <w:szCs w:val="22"/>
        </w:rPr>
        <w:t>de</w:t>
      </w:r>
      <w:r w:rsidRPr="0029503B" w:rsidR="007B265B">
        <w:rPr>
          <w:sz w:val="22"/>
          <w:szCs w:val="22"/>
        </w:rPr>
        <w:t xml:space="preserve"> </w:t>
      </w:r>
      <w:r w:rsidRPr="0029503B">
        <w:rPr>
          <w:sz w:val="22"/>
          <w:szCs w:val="22"/>
        </w:rPr>
        <w:t>anticipar</w:t>
      </w:r>
      <w:r w:rsidRPr="0029503B" w:rsidR="007B265B">
        <w:rPr>
          <w:sz w:val="22"/>
          <w:szCs w:val="22"/>
        </w:rPr>
        <w:t xml:space="preserve"> </w:t>
      </w:r>
      <w:r w:rsidRPr="0029503B">
        <w:rPr>
          <w:sz w:val="22"/>
          <w:szCs w:val="22"/>
        </w:rPr>
        <w:t>y</w:t>
      </w:r>
      <w:r w:rsidRPr="0029503B" w:rsidR="007B265B">
        <w:rPr>
          <w:sz w:val="22"/>
          <w:szCs w:val="22"/>
        </w:rPr>
        <w:t xml:space="preserve"> </w:t>
      </w:r>
      <w:r w:rsidRPr="0029503B">
        <w:rPr>
          <w:sz w:val="22"/>
          <w:szCs w:val="22"/>
        </w:rPr>
        <w:t>mitigar</w:t>
      </w:r>
      <w:r w:rsidRPr="0029503B" w:rsidR="007B265B">
        <w:rPr>
          <w:sz w:val="22"/>
          <w:szCs w:val="22"/>
        </w:rPr>
        <w:t xml:space="preserve"> </w:t>
      </w:r>
      <w:r w:rsidRPr="0029503B">
        <w:rPr>
          <w:sz w:val="22"/>
          <w:szCs w:val="22"/>
        </w:rPr>
        <w:t>escenarios</w:t>
      </w:r>
      <w:r w:rsidRPr="0029503B" w:rsidR="007B265B">
        <w:rPr>
          <w:sz w:val="22"/>
          <w:szCs w:val="22"/>
        </w:rPr>
        <w:t xml:space="preserve"> </w:t>
      </w:r>
      <w:r w:rsidRPr="0029503B">
        <w:rPr>
          <w:sz w:val="22"/>
          <w:szCs w:val="22"/>
        </w:rPr>
        <w:t>similares</w:t>
      </w:r>
      <w:r w:rsidRPr="0029503B" w:rsidR="007B265B">
        <w:rPr>
          <w:sz w:val="22"/>
          <w:szCs w:val="22"/>
        </w:rPr>
        <w:t xml:space="preserve"> </w:t>
      </w:r>
      <w:r w:rsidRPr="0029503B">
        <w:rPr>
          <w:sz w:val="22"/>
          <w:szCs w:val="22"/>
        </w:rPr>
        <w:t>en</w:t>
      </w:r>
      <w:r w:rsidRPr="0029503B" w:rsidR="007B265B">
        <w:rPr>
          <w:sz w:val="22"/>
          <w:szCs w:val="22"/>
        </w:rPr>
        <w:t xml:space="preserve"> </w:t>
      </w:r>
      <w:r w:rsidRPr="0029503B">
        <w:rPr>
          <w:sz w:val="22"/>
          <w:szCs w:val="22"/>
        </w:rPr>
        <w:t>otros</w:t>
      </w:r>
      <w:r w:rsidRPr="0029503B" w:rsidR="007B265B">
        <w:rPr>
          <w:sz w:val="22"/>
          <w:szCs w:val="22"/>
        </w:rPr>
        <w:t xml:space="preserve"> </w:t>
      </w:r>
      <w:r w:rsidRPr="0029503B">
        <w:rPr>
          <w:sz w:val="22"/>
          <w:szCs w:val="22"/>
        </w:rPr>
        <w:t>contextos</w:t>
      </w:r>
      <w:r w:rsidRPr="0029503B" w:rsidR="007B265B">
        <w:rPr>
          <w:sz w:val="22"/>
          <w:szCs w:val="22"/>
        </w:rPr>
        <w:t xml:space="preserve"> </w:t>
      </w:r>
      <w:r w:rsidRPr="0029503B">
        <w:rPr>
          <w:sz w:val="22"/>
          <w:szCs w:val="22"/>
        </w:rPr>
        <w:t>institucionales.</w:t>
      </w:r>
    </w:p>
    <w:p w:rsidRPr="00271506" w:rsidR="00271506" w:rsidP="00271506" w:rsidRDefault="00271506" w14:paraId="7256FD33" w14:textId="46EE0930">
      <w:pPr>
        <w:jc w:val="both"/>
        <w:rPr>
          <w:sz w:val="22"/>
          <w:szCs w:val="22"/>
        </w:rPr>
      </w:pPr>
    </w:p>
    <w:p w:rsidRPr="001A0FD5" w:rsidR="008C0C32" w:rsidP="008160B5" w:rsidRDefault="001A0FD5" w14:paraId="42FE91E8" w14:textId="34757FED">
      <w:pPr>
        <w:pStyle w:val="Ttulo2"/>
        <w:numPr>
          <w:ilvl w:val="1"/>
          <w:numId w:val="6"/>
        </w:numPr>
        <w:ind w:left="567" w:firstLine="0"/>
        <w:rPr>
          <w:rFonts w:eastAsia="Times New Roman" w:asciiTheme="minorHAnsi" w:hAnsiTheme="minorHAnsi"/>
          <w:b/>
          <w:bCs/>
          <w:color w:val="auto"/>
          <w:sz w:val="24"/>
          <w:szCs w:val="24"/>
        </w:rPr>
      </w:pPr>
      <w:bookmarkStart w:name="_Toc225160605" w:id="10"/>
      <w:r w:rsidRPr="001A0FD5">
        <w:rPr>
          <w:rFonts w:eastAsia="Times New Roman" w:asciiTheme="minorHAnsi" w:hAnsiTheme="minorHAnsi"/>
          <w:b/>
          <w:bCs/>
          <w:color w:val="auto"/>
          <w:sz w:val="24"/>
          <w:szCs w:val="24"/>
        </w:rPr>
        <w:t>Programas energéticos</w:t>
      </w:r>
      <w:r w:rsidRPr="001A0FD5" w:rsidR="00997519">
        <w:rPr>
          <w:rFonts w:eastAsia="Times New Roman" w:asciiTheme="minorHAnsi" w:hAnsiTheme="minorHAnsi"/>
          <w:b/>
          <w:bCs/>
          <w:color w:val="auto"/>
          <w:sz w:val="24"/>
          <w:szCs w:val="24"/>
        </w:rPr>
        <w:t xml:space="preserve"> </w:t>
      </w:r>
      <w:r w:rsidRPr="001A0FD5" w:rsidR="008C0C32">
        <w:rPr>
          <w:rFonts w:eastAsia="Times New Roman" w:asciiTheme="minorHAnsi" w:hAnsiTheme="minorHAnsi"/>
          <w:b/>
          <w:bCs/>
          <w:color w:val="auto"/>
          <w:sz w:val="24"/>
          <w:szCs w:val="24"/>
        </w:rPr>
        <w:t>fallidos</w:t>
      </w:r>
      <w:bookmarkEnd w:id="10"/>
      <w:r w:rsidRPr="001A0FD5" w:rsidR="734255FB">
        <w:rPr>
          <w:rFonts w:eastAsia="Times New Roman" w:asciiTheme="minorHAnsi" w:hAnsiTheme="minorHAnsi"/>
          <w:b/>
          <w:bCs/>
          <w:color w:val="auto"/>
          <w:sz w:val="24"/>
          <w:szCs w:val="24"/>
        </w:rPr>
        <w:t xml:space="preserve"> </w:t>
      </w:r>
    </w:p>
    <w:p w:rsidR="3D3C00A0" w:rsidP="3D3C00A0" w:rsidRDefault="3D3C00A0" w14:paraId="405CFA58" w14:textId="2C669B0C">
      <w:pPr>
        <w:rPr>
          <w:rFonts w:ascii="Aptos" w:hAnsi="Aptos" w:eastAsia="Aptos" w:cs="Aptos"/>
          <w:color w:val="000000" w:themeColor="text1"/>
        </w:rPr>
      </w:pPr>
    </w:p>
    <w:p w:rsidRPr="00024E19" w:rsidR="73282652" w:rsidP="482133A4" w:rsidRDefault="2EFADF71" w14:paraId="3D6394CB" w14:textId="7C1FE3C0">
      <w:pPr>
        <w:jc w:val="both"/>
        <w:rPr>
          <w:sz w:val="22"/>
          <w:szCs w:val="22"/>
        </w:rPr>
      </w:pPr>
      <w:r w:rsidRPr="7932A443">
        <w:rPr>
          <w:sz w:val="22"/>
          <w:szCs w:val="22"/>
        </w:rPr>
        <w:t xml:space="preserve">En las fallas del sector </w:t>
      </w:r>
      <w:r w:rsidRPr="7932A443" w:rsidR="002D1B4C">
        <w:rPr>
          <w:sz w:val="22"/>
          <w:szCs w:val="22"/>
        </w:rPr>
        <w:t>energético</w:t>
      </w:r>
      <w:r w:rsidRPr="7932A443">
        <w:rPr>
          <w:sz w:val="22"/>
          <w:szCs w:val="22"/>
        </w:rPr>
        <w:t>, m</w:t>
      </w:r>
      <w:r w:rsidRPr="73C8AC37" w:rsidR="314566D1">
        <w:rPr>
          <w:sz w:val="22"/>
          <w:szCs w:val="22"/>
        </w:rPr>
        <w:t>ás allá de su impacto técnico y ambiental, algunos desastres energéticos han revelado límites estructurales en los modelos de supervisión, en la coordinación organizacional y en la gestión estratégica de la incertidumbre</w:t>
      </w:r>
      <w:r w:rsidRPr="73C8AC37" w:rsidR="00C04654">
        <w:rPr>
          <w:sz w:val="22"/>
          <w:szCs w:val="22"/>
        </w:rPr>
        <w:t>.</w:t>
      </w:r>
    </w:p>
    <w:p w:rsidR="73282652" w:rsidP="73C8AC37" w:rsidRDefault="2FF767FC" w14:paraId="0BEE69FB" w14:textId="39B800DC">
      <w:pPr>
        <w:jc w:val="both"/>
        <w:rPr>
          <w:sz w:val="22"/>
          <w:szCs w:val="22"/>
        </w:rPr>
      </w:pPr>
      <w:r w:rsidRPr="73C8AC37">
        <w:rPr>
          <w:sz w:val="22"/>
          <w:szCs w:val="22"/>
        </w:rPr>
        <w:t xml:space="preserve">En este contexto, el Accidente nuclear de Chernóbil (1986) y el Derrame de petróleo de </w:t>
      </w:r>
      <w:proofErr w:type="spellStart"/>
      <w:r w:rsidRPr="73C8AC37">
        <w:rPr>
          <w:sz w:val="22"/>
          <w:szCs w:val="22"/>
        </w:rPr>
        <w:t>Deepwater</w:t>
      </w:r>
      <w:proofErr w:type="spellEnd"/>
      <w:r w:rsidRPr="73C8AC37">
        <w:rPr>
          <w:sz w:val="22"/>
          <w:szCs w:val="22"/>
        </w:rPr>
        <w:t xml:space="preserve"> Horizon (2010)</w:t>
      </w:r>
      <w:r w:rsidR="002D1B4C">
        <w:rPr>
          <w:sz w:val="22"/>
          <w:szCs w:val="22"/>
        </w:rPr>
        <w:t xml:space="preserve">. </w:t>
      </w:r>
      <w:r w:rsidRPr="73C8AC37">
        <w:rPr>
          <w:sz w:val="22"/>
          <w:szCs w:val="22"/>
        </w:rPr>
        <w:t xml:space="preserve">Ambos casos, desarrollados en entornos institucionales distintos </w:t>
      </w:r>
      <w:r w:rsidR="00874798">
        <w:rPr>
          <w:sz w:val="22"/>
          <w:szCs w:val="22"/>
        </w:rPr>
        <w:t>(</w:t>
      </w:r>
      <w:r w:rsidRPr="73C8AC37">
        <w:rPr>
          <w:sz w:val="22"/>
          <w:szCs w:val="22"/>
        </w:rPr>
        <w:t>uno bajo un sistema estatal centralizado y otro en una red corporativa transnacional</w:t>
      </w:r>
      <w:r w:rsidR="00874798">
        <w:rPr>
          <w:sz w:val="22"/>
          <w:szCs w:val="22"/>
        </w:rPr>
        <w:t xml:space="preserve">) </w:t>
      </w:r>
      <w:r w:rsidRPr="73C8AC37">
        <w:rPr>
          <w:sz w:val="22"/>
          <w:szCs w:val="22"/>
        </w:rPr>
        <w:t>permiten analizar la relación entre estructura organizacional, toma de decisiones y mecanismos de control.</w:t>
      </w:r>
      <w:r w:rsidR="00874798">
        <w:rPr>
          <w:sz w:val="22"/>
          <w:szCs w:val="22"/>
        </w:rPr>
        <w:t xml:space="preserve"> </w:t>
      </w:r>
      <w:proofErr w:type="gramStart"/>
      <w:r w:rsidRPr="73C8AC37">
        <w:rPr>
          <w:sz w:val="22"/>
          <w:szCs w:val="22"/>
        </w:rPr>
        <w:t>S</w:t>
      </w:r>
      <w:r w:rsidR="004F1FA1">
        <w:rPr>
          <w:sz w:val="22"/>
          <w:szCs w:val="22"/>
        </w:rPr>
        <w:t>e</w:t>
      </w:r>
      <w:r w:rsidRPr="73C8AC37">
        <w:rPr>
          <w:sz w:val="22"/>
          <w:szCs w:val="22"/>
        </w:rPr>
        <w:t xml:space="preserve">  posibilita</w:t>
      </w:r>
      <w:proofErr w:type="gramEnd"/>
      <w:r w:rsidRPr="73C8AC37">
        <w:rPr>
          <w:sz w:val="22"/>
          <w:szCs w:val="22"/>
        </w:rPr>
        <w:t xml:space="preserve"> </w:t>
      </w:r>
      <w:r w:rsidRPr="7932A443" w:rsidR="74FD65F6">
        <w:rPr>
          <w:sz w:val="22"/>
          <w:szCs w:val="22"/>
        </w:rPr>
        <w:t xml:space="preserve">poder </w:t>
      </w:r>
      <w:r w:rsidRPr="73C8AC37">
        <w:rPr>
          <w:sz w:val="22"/>
          <w:szCs w:val="22"/>
        </w:rPr>
        <w:t xml:space="preserve">identificar patrones institucionales que condicionan la anticipación, interpretación y gestión de amenazas en contextos de alta exposición tecnológica. </w:t>
      </w:r>
      <w:r w:rsidRPr="73C8AC37" w:rsidR="3E1190BA">
        <w:rPr>
          <w:sz w:val="22"/>
          <w:szCs w:val="22"/>
        </w:rPr>
        <w:t>De esta manera, la incorporación de estos dos casos en el marco teórico responde a su valor analítico para comprender las dinámicas</w:t>
      </w:r>
      <w:r w:rsidR="00874798">
        <w:rPr>
          <w:sz w:val="22"/>
          <w:szCs w:val="22"/>
        </w:rPr>
        <w:t xml:space="preserve"> </w:t>
      </w:r>
      <w:r w:rsidRPr="73C8AC37" w:rsidR="3E1190BA">
        <w:rPr>
          <w:sz w:val="22"/>
          <w:szCs w:val="22"/>
        </w:rPr>
        <w:t>organizacionales que preceden y acompañan la ocurrencia de fallas críticas en el sector</w:t>
      </w:r>
      <w:r w:rsidR="00874798">
        <w:rPr>
          <w:sz w:val="22"/>
          <w:szCs w:val="22"/>
        </w:rPr>
        <w:t xml:space="preserve"> </w:t>
      </w:r>
      <w:r w:rsidRPr="73C8AC37" w:rsidR="3E1190BA">
        <w:rPr>
          <w:sz w:val="22"/>
          <w:szCs w:val="22"/>
        </w:rPr>
        <w:t>energético.</w:t>
      </w:r>
    </w:p>
    <w:p w:rsidRPr="000D44D2" w:rsidR="003666FD" w:rsidP="00095F85" w:rsidRDefault="003666FD" w14:paraId="27AA8C21" w14:textId="77777777">
      <w:pPr>
        <w:spacing w:after="0"/>
        <w:jc w:val="both"/>
        <w:rPr>
          <w:rFonts w:eastAsia="Aptos" w:cs="Aptos"/>
          <w:color w:val="000000" w:themeColor="text1"/>
          <w:sz w:val="22"/>
          <w:szCs w:val="22"/>
        </w:rPr>
      </w:pPr>
    </w:p>
    <w:p w:rsidR="73282652" w:rsidP="008160B5" w:rsidRDefault="4C0122E2" w14:paraId="57C5EACC" w14:textId="742FF340">
      <w:pPr>
        <w:pStyle w:val="Ttulo3"/>
        <w:numPr>
          <w:ilvl w:val="2"/>
          <w:numId w:val="6"/>
        </w:numPr>
        <w:ind w:left="567" w:firstLine="0"/>
        <w:rPr>
          <w:b/>
          <w:bCs/>
          <w:color w:val="auto"/>
          <w:sz w:val="24"/>
          <w:szCs w:val="24"/>
        </w:rPr>
      </w:pPr>
      <w:bookmarkStart w:name="_Toc225160606" w:id="11"/>
      <w:r w:rsidRPr="002A3A16">
        <w:rPr>
          <w:b/>
          <w:bCs/>
          <w:color w:val="auto"/>
          <w:sz w:val="24"/>
          <w:szCs w:val="24"/>
        </w:rPr>
        <w:t>Accidente nuclear de Chernóbil (1986)</w:t>
      </w:r>
      <w:bookmarkEnd w:id="11"/>
    </w:p>
    <w:p w:rsidRPr="00796EB2" w:rsidR="00796EB2" w:rsidP="00796EB2" w:rsidRDefault="00796EB2" w14:paraId="16DDAE29" w14:textId="77777777"/>
    <w:p w:rsidR="25B140AA" w:rsidP="00796EB2" w:rsidRDefault="25B140AA" w14:paraId="3C57C39D" w14:textId="3F85F864">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El accidente nuclear de Chernóbil, </w:t>
      </w:r>
      <w:r w:rsidRPr="73C8AC37" w:rsidR="004F1FA1">
        <w:rPr>
          <w:rFonts w:ascii="Aptos" w:hAnsi="Aptos" w:eastAsia="Aptos" w:cs="Aptos"/>
          <w:color w:val="000000" w:themeColor="text1"/>
          <w:sz w:val="22"/>
          <w:szCs w:val="22"/>
          <w:lang w:val="es-ES"/>
        </w:rPr>
        <w:t>ocurrido</w:t>
      </w:r>
      <w:r w:rsidRPr="73C8AC37">
        <w:rPr>
          <w:rFonts w:ascii="Aptos" w:hAnsi="Aptos" w:eastAsia="Aptos" w:cs="Aptos"/>
          <w:color w:val="000000" w:themeColor="text1"/>
          <w:sz w:val="22"/>
          <w:szCs w:val="22"/>
          <w:lang w:val="es-ES"/>
        </w:rPr>
        <w:t xml:space="preserve"> el 26 de abril de 1986. Este trágico evento proporciona lecciones críticas sobre cómo la falta de comunicación efectiva, una cultura</w:t>
      </w:r>
      <w:r w:rsidRPr="73C8AC37" w:rsidR="6CB38D39">
        <w:rPr>
          <w:rFonts w:ascii="Aptos" w:hAnsi="Aptos" w:eastAsia="Aptos" w:cs="Aptos"/>
          <w:color w:val="000000" w:themeColor="text1"/>
          <w:sz w:val="22"/>
          <w:szCs w:val="22"/>
          <w:lang w:val="es-ES"/>
        </w:rPr>
        <w:t xml:space="preserve"> </w:t>
      </w:r>
      <w:r w:rsidRPr="73C8AC37">
        <w:rPr>
          <w:rFonts w:ascii="Aptos" w:hAnsi="Aptos" w:eastAsia="Aptos" w:cs="Aptos"/>
          <w:color w:val="000000" w:themeColor="text1"/>
          <w:sz w:val="22"/>
          <w:szCs w:val="22"/>
          <w:lang w:val="es-ES"/>
        </w:rPr>
        <w:t>organizacional jerárquica y comportamientos de riesgo normalizados pueden culminar en una catástrofe.</w:t>
      </w:r>
    </w:p>
    <w:p w:rsidR="25B140AA" w:rsidP="73C8AC37" w:rsidRDefault="25B140AA" w14:paraId="63A9122F" w14:textId="533C1C7A">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La estructura organizacional dentro de la planta de Chernóbil estaba caracterizada por una rígida jerarquía institucional, común en el sistema soviético de la época. La responsabilidad y las decisiones críticas estaban centralizadas en la alta gerencia, reduciendo significativamente la agencia de los operadores. Según Orlov y Baranov (2000), esta estructura inhibía la comunicación eficaz, ya que los operadores eran raramente incentivados a cuestionar o proporcionar retroalimentación sobre las órdenes recibidas, una dinámica que fomentó el silencio en lugar de la crítica constructiva.</w:t>
      </w:r>
    </w:p>
    <w:p w:rsidR="25B140AA" w:rsidP="73C8AC37" w:rsidRDefault="25B140AA" w14:paraId="1D26D356" w14:textId="594BC7F6">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El proceso de toma de decisiones en la planta nuclear de Chernóbil refleja una cultura de restricciones institucionales donde las directivas de la administración superior eran seguidas con poco cuestionamiento. Durante la fatídica prueba de seguridad, el deseo de completar la tarea fue priorizado sobre las precauciones de seguridad, demostrando cómo los líderes operativos rechazaron rígidamente la iniciativa cuando surgieron discrepancias (Schmid, 2011). Esto fue exacerbado por una presión institucional para demostrar éxito a cualquier costo, situándose en </w:t>
      </w:r>
      <w:r w:rsidRPr="73C8AC37">
        <w:rPr>
          <w:rFonts w:ascii="Aptos" w:hAnsi="Aptos" w:eastAsia="Aptos" w:cs="Aptos"/>
          <w:color w:val="000000" w:themeColor="text1"/>
          <w:sz w:val="22"/>
          <w:szCs w:val="22"/>
          <w:lang w:val="es-ES"/>
        </w:rPr>
        <w:lastRenderedPageBreak/>
        <w:t>otra manifestación del denominado "síndrome del cumplimiento" donde los empleados tienden a seguir órdenes sin considerar las implicaciones de seguridad (Walker, 2004).</w:t>
      </w:r>
    </w:p>
    <w:p w:rsidR="25B140AA" w:rsidP="73C8AC37" w:rsidRDefault="25B140AA" w14:paraId="3DC9E049" w14:textId="54402F30">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Hubo numerosas señales tempranas que fueron ignoradas repetidamente antes del accidente. La planta nuclear de Chernóbil había experimentado con anterioridad problemas operativos y errores de diseño que no recibieron la atención necesaria para su corrección, aun cuando habían sido reportados por varias auditorías internas y externas (Smith &amp; Beresford, 2005). Estas incluían problemas con las barras de control del reactor, dispositivos cruciales para moderar la reacción nuclear y gestionar emergencias. Sin embargo, en un ambiente donde la información era filtrada por nerviosismo institucional, las advertencias no escalaron adecuadamente.</w:t>
      </w:r>
    </w:p>
    <w:p w:rsidR="25B140AA" w:rsidP="73C8AC37" w:rsidRDefault="25B140AA" w14:paraId="1F75A50B" w14:textId="50CE37C5">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Uno de los aspectos más insidiosos que llevaron al desastre fue la normalización del riesgo, una realidad donde prácticas que una vez se consideraron riesgosas gradualmente comenzaron a ser vistas como aceptables. Vaughan (1996) define este fenómeno en el contexto de Chernóbil como un proceso donde las desviaciones operativas de los estándares de seguridad llegaron a ser vistas como aceptables debido a la inercia organizacional y la presión para alcanzar objetivos de eficiencia y producción. Esto incluyó la desconsideración por pautas operativas efectivas y los procedimientos de prueba que, si se hubieran seguido correctamente, podrían haber prevenido la explosión.</w:t>
      </w:r>
    </w:p>
    <w:p w:rsidR="25B140AA" w:rsidP="73C8AC37" w:rsidRDefault="25B140AA" w14:paraId="31C31891" w14:textId="62EBAEFF">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Las fallas latentes acumuladas en Chernóbil no se convirtieron en evidentes sino hasta que fue demasiado tarde. Estas fallas incluyeron tanto características problemáticas en el diseño del reactor RBMK como deficiencias en la capacitación del personal sobre cómo lidiar efectivamente con emergencias (Perrow, 1999). Meserve (2002) comenta que estas fallas permanecieron invisibles debido a un fracaso en identificar riesgos críticos y la falta de una cultura de seguridad proactiva. Por ejemplo, las propiedades de diseño del reactor, como el coeficiente de vacío positivo, no fueron adecuadamente consideradas en los procedimientos operativos diarios.</w:t>
      </w:r>
    </w:p>
    <w:p w:rsidR="25B140AA" w:rsidP="73C8AC37" w:rsidRDefault="25B140AA" w14:paraId="0152231B" w14:textId="587DAEE7">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El evento crítico fue detonante por una serie de acciones irresponsablemente acumulativas durante una prueba de seguridad nocturna que simuló un corte de suministro energético. Estas incluyeron la desconexión deliberada de sistemas de seguridad automáticos y otros procedimientos irregulares que terminaron en un aumento descontrolado de la potencia y, finalmente, una explosión (Stacey, 2006). Este evento final debe ser visto como la culminación de un largo proceso de degradación progresiva, donde tanto las fallas organizacionales como el diseño técnico jugaron roles críticos.</w:t>
      </w:r>
    </w:p>
    <w:p w:rsidR="25B140AA" w:rsidP="73C8AC37" w:rsidRDefault="25B140AA" w14:paraId="35A37EEF" w14:textId="0870B8BD">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El accidente de Chernóbil resalta la importancia de integrar una cultura organizacional que priorice la seguridad integral, la comunicación abierta y la responsabilidad crítica dentro de estructuras jerárquicas complejas. Tras Chernóbil, las industrias nucleares mundial han tenido que reconsiderar profundamente sus paradigmas de operación y seguridad, enfatizando no solo el enfoque técnico, sino también aspectos organizativos y humanos en la gestión de tecnologías de alto riesgo (Nuclear Energy Agency [NEA], 2004).</w:t>
      </w:r>
    </w:p>
    <w:p w:rsidR="000E67BC" w:rsidP="00095F85" w:rsidRDefault="000E67BC" w14:paraId="1E629608" w14:textId="2D6E8BCD">
      <w:pPr>
        <w:spacing w:after="0"/>
        <w:jc w:val="both"/>
        <w:rPr>
          <w:rFonts w:ascii="Aptos" w:hAnsi="Aptos" w:eastAsia="Aptos" w:cs="Aptos"/>
          <w:color w:val="000000" w:themeColor="text1"/>
          <w:sz w:val="22"/>
          <w:szCs w:val="22"/>
          <w:lang w:val="es-ES"/>
        </w:rPr>
      </w:pPr>
    </w:p>
    <w:p w:rsidR="73282652" w:rsidP="008160B5" w:rsidRDefault="2B692334" w14:paraId="44968953" w14:textId="54D67AE6">
      <w:pPr>
        <w:pStyle w:val="Ttulo3"/>
        <w:numPr>
          <w:ilvl w:val="2"/>
          <w:numId w:val="6"/>
        </w:numPr>
        <w:ind w:left="567" w:firstLine="0"/>
        <w:rPr>
          <w:b/>
          <w:bCs/>
          <w:color w:val="auto"/>
          <w:sz w:val="24"/>
          <w:szCs w:val="24"/>
          <w:lang w:val="es-ES"/>
        </w:rPr>
      </w:pPr>
      <w:bookmarkStart w:name="_Toc225160607" w:id="12"/>
      <w:r w:rsidRPr="002A3A16">
        <w:rPr>
          <w:b/>
          <w:bCs/>
          <w:color w:val="auto"/>
          <w:sz w:val="24"/>
          <w:szCs w:val="24"/>
          <w:lang w:val="es-ES"/>
        </w:rPr>
        <w:lastRenderedPageBreak/>
        <w:t xml:space="preserve">Derrame de petróleo de </w:t>
      </w:r>
      <w:proofErr w:type="spellStart"/>
      <w:r w:rsidRPr="002A3A16">
        <w:rPr>
          <w:b/>
          <w:bCs/>
          <w:color w:val="auto"/>
          <w:sz w:val="24"/>
          <w:szCs w:val="24"/>
          <w:lang w:val="es-ES"/>
        </w:rPr>
        <w:t>Deepwater</w:t>
      </w:r>
      <w:proofErr w:type="spellEnd"/>
      <w:r w:rsidRPr="002A3A16">
        <w:rPr>
          <w:b/>
          <w:bCs/>
          <w:color w:val="auto"/>
          <w:sz w:val="24"/>
          <w:szCs w:val="24"/>
          <w:lang w:val="es-ES"/>
        </w:rPr>
        <w:t xml:space="preserve"> Horizon (2010)</w:t>
      </w:r>
      <w:bookmarkEnd w:id="12"/>
    </w:p>
    <w:p w:rsidRPr="00796EB2" w:rsidR="00796EB2" w:rsidP="00796EB2" w:rsidRDefault="00796EB2" w14:paraId="2BB82D7F" w14:textId="77777777">
      <w:pPr>
        <w:rPr>
          <w:lang w:val="es-ES"/>
        </w:rPr>
      </w:pPr>
    </w:p>
    <w:p w:rsidRPr="00267C4E" w:rsidR="154E55FF" w:rsidP="73C8AC37" w:rsidRDefault="154E55FF" w14:paraId="131BAAAA" w14:textId="31A6194C">
      <w:pPr>
        <w:spacing w:line="276" w:lineRule="auto"/>
        <w:jc w:val="both"/>
        <w:rPr>
          <w:rFonts w:ascii="Aptos" w:hAnsi="Aptos" w:eastAsia="Aptos" w:cs="Aptos"/>
          <w:color w:val="000000" w:themeColor="text1"/>
          <w:sz w:val="22"/>
          <w:szCs w:val="22"/>
          <w:lang w:val="es-ES"/>
        </w:rPr>
      </w:pPr>
      <w:r w:rsidRPr="00267C4E">
        <w:rPr>
          <w:rFonts w:ascii="Aptos" w:hAnsi="Aptos" w:eastAsia="Aptos" w:cs="Aptos"/>
          <w:color w:val="000000" w:themeColor="text1"/>
          <w:sz w:val="22"/>
          <w:szCs w:val="22"/>
          <w:lang w:val="es-ES"/>
        </w:rPr>
        <w:t xml:space="preserve">El desastre de </w:t>
      </w:r>
      <w:proofErr w:type="spellStart"/>
      <w:r w:rsidRPr="00267C4E">
        <w:rPr>
          <w:rFonts w:ascii="Aptos" w:hAnsi="Aptos" w:eastAsia="Aptos" w:cs="Aptos"/>
          <w:color w:val="000000" w:themeColor="text1"/>
          <w:sz w:val="22"/>
          <w:szCs w:val="22"/>
          <w:lang w:val="es-ES"/>
        </w:rPr>
        <w:t>Deepwater</w:t>
      </w:r>
      <w:proofErr w:type="spellEnd"/>
      <w:r w:rsidRPr="00267C4E">
        <w:rPr>
          <w:rFonts w:ascii="Aptos" w:hAnsi="Aptos" w:eastAsia="Aptos" w:cs="Aptos"/>
          <w:color w:val="000000" w:themeColor="text1"/>
          <w:sz w:val="22"/>
          <w:szCs w:val="22"/>
          <w:lang w:val="es-ES"/>
        </w:rPr>
        <w:t xml:space="preserve"> Horizon ocurrido en abril de 2010 es uno de los peores derrames de petróleo en la historia, destacando las complejidades asociadas con la gestión de riesgos en la explotación de petróleo marino de gran profundidad. Este evento es un excelente estudio de caso para analizar cómo las fallas en la estructura organizacional, la toma de decisiones y la gestión del riesgo pueden tener consecuencias devastadoras para el ambiente y las comunidades humanas.</w:t>
      </w:r>
    </w:p>
    <w:p w:rsidRPr="00267C4E" w:rsidR="154E55FF" w:rsidP="73C8AC37" w:rsidRDefault="154E55FF" w14:paraId="198689C4" w14:textId="465F58C5">
      <w:pPr>
        <w:spacing w:line="276" w:lineRule="auto"/>
        <w:jc w:val="both"/>
        <w:rPr>
          <w:rFonts w:ascii="Aptos" w:hAnsi="Aptos" w:eastAsia="Aptos" w:cs="Aptos"/>
          <w:color w:val="000000" w:themeColor="text1"/>
          <w:sz w:val="22"/>
          <w:szCs w:val="22"/>
          <w:lang w:val="es-ES"/>
        </w:rPr>
      </w:pPr>
      <w:r w:rsidRPr="00267C4E">
        <w:rPr>
          <w:rFonts w:ascii="Aptos" w:hAnsi="Aptos" w:eastAsia="Aptos" w:cs="Aptos"/>
          <w:color w:val="000000" w:themeColor="text1"/>
          <w:sz w:val="22"/>
          <w:szCs w:val="22"/>
          <w:lang w:val="es-ES"/>
        </w:rPr>
        <w:t xml:space="preserve">La estructura organizacional involucrada en la plataforma de </w:t>
      </w:r>
      <w:proofErr w:type="spellStart"/>
      <w:r w:rsidRPr="00267C4E">
        <w:rPr>
          <w:rFonts w:ascii="Aptos" w:hAnsi="Aptos" w:eastAsia="Aptos" w:cs="Aptos"/>
          <w:color w:val="000000" w:themeColor="text1"/>
          <w:sz w:val="22"/>
          <w:szCs w:val="22"/>
          <w:lang w:val="es-ES"/>
        </w:rPr>
        <w:t>Deepwater</w:t>
      </w:r>
      <w:proofErr w:type="spellEnd"/>
      <w:r w:rsidRPr="00267C4E">
        <w:rPr>
          <w:rFonts w:ascii="Aptos" w:hAnsi="Aptos" w:eastAsia="Aptos" w:cs="Aptos"/>
          <w:color w:val="000000" w:themeColor="text1"/>
          <w:sz w:val="22"/>
          <w:szCs w:val="22"/>
          <w:lang w:val="es-ES"/>
        </w:rPr>
        <w:t xml:space="preserve"> Horizon era compleja, con múltiples partes interesadas, incluidos BP como operador principal, </w:t>
      </w:r>
      <w:proofErr w:type="spellStart"/>
      <w:r w:rsidRPr="00267C4E">
        <w:rPr>
          <w:rFonts w:ascii="Aptos" w:hAnsi="Aptos" w:eastAsia="Aptos" w:cs="Aptos"/>
          <w:color w:val="000000" w:themeColor="text1"/>
          <w:sz w:val="22"/>
          <w:szCs w:val="22"/>
          <w:lang w:val="es-ES"/>
        </w:rPr>
        <w:t>Transocean</w:t>
      </w:r>
      <w:proofErr w:type="spellEnd"/>
      <w:r w:rsidRPr="00267C4E">
        <w:rPr>
          <w:rFonts w:ascii="Aptos" w:hAnsi="Aptos" w:eastAsia="Aptos" w:cs="Aptos"/>
          <w:color w:val="000000" w:themeColor="text1"/>
          <w:sz w:val="22"/>
          <w:szCs w:val="22"/>
          <w:lang w:val="es-ES"/>
        </w:rPr>
        <w:t xml:space="preserve"> como propietario de la plataforma de perforación y Halliburton a cargo del cemento de la base del pozo. Según Reader y O’Connor (2014), esta estructura fragmentada condujo a una confusión en la rendición de cuentas y una falta de cohesión en la gestión de operaciones cruciales, lo cual es un factor común en grandes proyectos de ingeniería donde colaboran distintas entidades.</w:t>
      </w:r>
    </w:p>
    <w:p w:rsidR="154E55FF" w:rsidP="73C8AC37" w:rsidRDefault="154E55FF" w14:paraId="60D263A1" w14:textId="132962A2">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Las dinámicas de toma de decisiones durante las operaciones de </w:t>
      </w:r>
      <w:proofErr w:type="spellStart"/>
      <w:r w:rsidRPr="73C8AC37">
        <w:rPr>
          <w:rFonts w:ascii="Aptos" w:hAnsi="Aptos" w:eastAsia="Aptos" w:cs="Aptos"/>
          <w:color w:val="000000" w:themeColor="text1"/>
          <w:sz w:val="22"/>
          <w:szCs w:val="22"/>
          <w:lang w:val="es-ES"/>
        </w:rPr>
        <w:t>Deepwater</w:t>
      </w:r>
      <w:proofErr w:type="spellEnd"/>
      <w:r w:rsidRPr="73C8AC37">
        <w:rPr>
          <w:rFonts w:ascii="Aptos" w:hAnsi="Aptos" w:eastAsia="Aptos" w:cs="Aptos"/>
          <w:color w:val="000000" w:themeColor="text1"/>
          <w:sz w:val="22"/>
          <w:szCs w:val="22"/>
          <w:lang w:val="es-ES"/>
        </w:rPr>
        <w:t xml:space="preserve"> Horizon estuvieron marcadas por un deseo imperativo de reducir costos y acelerar el cronograma de perforación. BP estableció un ambiente donde las decisiones respecto a la seguridad fueron frecuentemente subyugadas por objetivos económicos. Como documenta Levy (2011), la alta administración a menudo priorizó la eficiencia y la celeridad en la finalización del pozo sobre las prácticas de seguridad, lo cual generó un entorno donde las preocupaciones técnicas y las advertencias de los ingenieros no siempre recibieron la atención necesaria.</w:t>
      </w:r>
    </w:p>
    <w:p w:rsidR="154E55FF" w:rsidP="73C8AC37" w:rsidRDefault="154E55FF" w14:paraId="63E4D9CC" w14:textId="712245B9">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Hubo numerosas señales tempranas de advertencia que fueron ignoradas antes del desastre, como evidencia de problemas con la mezcla de cemento utilizada para asegurar el pozo, que no sellaba correctamente (Bozeman &amp; Slade, 2013). Asimismo, las pruebas de presión realizadas justo antes del incidente indicaron posibles fallos en la integridad del pozo. Empero, se decidió avanzar basándose en interpretaciones optimistas de estos resultados, mostrando un marcado sesgo de confirmación en el análisis y toma de decisiones de la operación.</w:t>
      </w:r>
    </w:p>
    <w:p w:rsidR="154E55FF" w:rsidP="73C8AC37" w:rsidRDefault="154E55FF" w14:paraId="3834F4B6" w14:textId="68DE575B">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La normalización del riesgo fue evidentemente prominente en la operación de </w:t>
      </w:r>
      <w:proofErr w:type="spellStart"/>
      <w:r w:rsidRPr="73C8AC37">
        <w:rPr>
          <w:rFonts w:ascii="Aptos" w:hAnsi="Aptos" w:eastAsia="Aptos" w:cs="Aptos"/>
          <w:color w:val="000000" w:themeColor="text1"/>
          <w:sz w:val="22"/>
          <w:szCs w:val="22"/>
          <w:lang w:val="es-ES"/>
        </w:rPr>
        <w:t>Deepwater</w:t>
      </w:r>
      <w:proofErr w:type="spellEnd"/>
      <w:r w:rsidRPr="73C8AC37">
        <w:rPr>
          <w:rFonts w:ascii="Aptos" w:hAnsi="Aptos" w:eastAsia="Aptos" w:cs="Aptos"/>
          <w:color w:val="000000" w:themeColor="text1"/>
          <w:sz w:val="22"/>
          <w:szCs w:val="22"/>
          <w:lang w:val="es-ES"/>
        </w:rPr>
        <w:t xml:space="preserve"> Horizon. Con el tiempo, las prácticas operativas deficientes se convirtieron en el estándar pese a estar alineadas con operaciones delicadas de alto riesgo. Vaughan (1996) plantea que tal normalización permite que prácticas inadecuadas de gestión y mantenimiento puedan ir aclimatándose dentro de la cultura organizacional, hasta el punto en que el peligro se convierte en algo aceptado o pasado por alto rutinariamente.</w:t>
      </w:r>
    </w:p>
    <w:p w:rsidR="154E55FF" w:rsidP="73C8AC37" w:rsidRDefault="154E55FF" w14:paraId="7FE20439" w14:textId="2E35CDB5">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Las fallas latentes acumuladas incluyeron deficiencias sistemáticas en los protocolos de seguridad y respuestas de contingencia. El informe de la Comisión Nacional sobre el Derrame de Petróleo y la Perforación Marítima (2011) destaca cómo las debilidades en el diseño del pozo Macondo fueron ignoradas, acopladas con pruebas de diagnóstico irregularmente conducidas y </w:t>
      </w:r>
      <w:r w:rsidRPr="73C8AC37">
        <w:rPr>
          <w:rFonts w:ascii="Aptos" w:hAnsi="Aptos" w:eastAsia="Aptos" w:cs="Aptos"/>
          <w:color w:val="000000" w:themeColor="text1"/>
          <w:sz w:val="22"/>
          <w:szCs w:val="22"/>
          <w:lang w:val="es-ES"/>
        </w:rPr>
        <w:lastRenderedPageBreak/>
        <w:t>una falta de protocolos rigurosos para mitigar fallas identificadas. Estas fallas continuaron sin resolución inclusive después de que fueran reconocidas en auditorías anteriores.</w:t>
      </w:r>
    </w:p>
    <w:p w:rsidR="154E55FF" w:rsidP="73C8AC37" w:rsidRDefault="154E55FF" w14:paraId="5BEEA9E6" w14:textId="0D66FCE4">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El evento crítico que resultó en el desastre fue una explosión resultante de una liberación incontrolada de petróleo y gas del pozo, liberación causada por fallos sistemáticos en la contención del pozo. La explosión marcó el clímax de una degradación progresiva de medidas de gestión del riesgo que, en retrospectiva, fueron sistemáticamente ignoradas o consideradas ínfimas en impactos potenciales (Benz, 2014).</w:t>
      </w:r>
    </w:p>
    <w:p w:rsidR="154E55FF" w:rsidP="73C8AC37" w:rsidRDefault="154E55FF" w14:paraId="4FE56983" w14:textId="23270165">
      <w:pPr>
        <w:spacing w:line="276" w:lineRule="auto"/>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El desastre de </w:t>
      </w:r>
      <w:proofErr w:type="spellStart"/>
      <w:r w:rsidRPr="73C8AC37">
        <w:rPr>
          <w:rFonts w:ascii="Aptos" w:hAnsi="Aptos" w:eastAsia="Aptos" w:cs="Aptos"/>
          <w:color w:val="000000" w:themeColor="text1"/>
          <w:sz w:val="22"/>
          <w:szCs w:val="22"/>
          <w:lang w:val="es-ES"/>
        </w:rPr>
        <w:t>Deepwater</w:t>
      </w:r>
      <w:proofErr w:type="spellEnd"/>
      <w:r w:rsidRPr="73C8AC37">
        <w:rPr>
          <w:rFonts w:ascii="Aptos" w:hAnsi="Aptos" w:eastAsia="Aptos" w:cs="Aptos"/>
          <w:color w:val="000000" w:themeColor="text1"/>
          <w:sz w:val="22"/>
          <w:szCs w:val="22"/>
          <w:lang w:val="es-ES"/>
        </w:rPr>
        <w:t xml:space="preserve"> Horizon resalta la importancia imperativa de integrar medidas de seguridad y sistemas de gestión del riesgo en todos los niveles de las operaciones corporativas, especialmente dentro de industrias de alta complejidad y riesgo como la extracción de petróleo marítimo. Las lecciones aprendidas de este incidente han llevado a una revisión extensiva y la implementación subsiguiente de regulaciones más estrictas y estándares de seguridad reforzados, tendientes a evitar la repetición de tal calamidad en el futuro (</w:t>
      </w:r>
      <w:proofErr w:type="spellStart"/>
      <w:r w:rsidRPr="73C8AC37">
        <w:rPr>
          <w:rFonts w:ascii="Aptos" w:hAnsi="Aptos" w:eastAsia="Aptos" w:cs="Aptos"/>
          <w:color w:val="000000" w:themeColor="text1"/>
          <w:sz w:val="22"/>
          <w:szCs w:val="22"/>
          <w:lang w:val="es-ES"/>
        </w:rPr>
        <w:t>United</w:t>
      </w:r>
      <w:proofErr w:type="spellEnd"/>
      <w:r w:rsidRPr="73C8AC37">
        <w:rPr>
          <w:rFonts w:ascii="Aptos" w:hAnsi="Aptos" w:eastAsia="Aptos" w:cs="Aptos"/>
          <w:color w:val="000000" w:themeColor="text1"/>
          <w:sz w:val="22"/>
          <w:szCs w:val="22"/>
          <w:lang w:val="es-ES"/>
        </w:rPr>
        <w:t xml:space="preserve"> States </w:t>
      </w:r>
      <w:proofErr w:type="spellStart"/>
      <w:r w:rsidRPr="73C8AC37">
        <w:rPr>
          <w:rFonts w:ascii="Aptos" w:hAnsi="Aptos" w:eastAsia="Aptos" w:cs="Aptos"/>
          <w:color w:val="000000" w:themeColor="text1"/>
          <w:sz w:val="22"/>
          <w:szCs w:val="22"/>
          <w:lang w:val="es-ES"/>
        </w:rPr>
        <w:t>Environmental</w:t>
      </w:r>
      <w:proofErr w:type="spellEnd"/>
      <w:r w:rsidRPr="73C8AC37">
        <w:rPr>
          <w:rFonts w:ascii="Aptos" w:hAnsi="Aptos" w:eastAsia="Aptos" w:cs="Aptos"/>
          <w:color w:val="000000" w:themeColor="text1"/>
          <w:sz w:val="22"/>
          <w:szCs w:val="22"/>
          <w:lang w:val="es-ES"/>
        </w:rPr>
        <w:t xml:space="preserve"> </w:t>
      </w:r>
      <w:proofErr w:type="spellStart"/>
      <w:r w:rsidRPr="73C8AC37">
        <w:rPr>
          <w:rFonts w:ascii="Aptos" w:hAnsi="Aptos" w:eastAsia="Aptos" w:cs="Aptos"/>
          <w:color w:val="000000" w:themeColor="text1"/>
          <w:sz w:val="22"/>
          <w:szCs w:val="22"/>
          <w:lang w:val="es-ES"/>
        </w:rPr>
        <w:t>Protection</w:t>
      </w:r>
      <w:proofErr w:type="spellEnd"/>
      <w:r w:rsidRPr="73C8AC37">
        <w:rPr>
          <w:rFonts w:ascii="Aptos" w:hAnsi="Aptos" w:eastAsia="Aptos" w:cs="Aptos"/>
          <w:color w:val="000000" w:themeColor="text1"/>
          <w:sz w:val="22"/>
          <w:szCs w:val="22"/>
          <w:lang w:val="es-ES"/>
        </w:rPr>
        <w:t xml:space="preserve"> Agency [EPA], 2012).</w:t>
      </w:r>
    </w:p>
    <w:p w:rsidRPr="00024E19" w:rsidR="73282652" w:rsidP="46D6E503" w:rsidRDefault="6E009B4A" w14:paraId="28A1FF06" w14:textId="61D5F258">
      <w:pPr>
        <w:spacing w:before="240" w:after="240"/>
        <w:jc w:val="both"/>
        <w:rPr>
          <w:sz w:val="22"/>
          <w:szCs w:val="22"/>
          <w:lang w:val="es-ES"/>
        </w:rPr>
      </w:pPr>
      <w:proofErr w:type="spellStart"/>
      <w:r w:rsidRPr="73C8AC37">
        <w:rPr>
          <w:rFonts w:ascii="Aptos" w:hAnsi="Aptos" w:eastAsia="Aptos" w:cs="Aptos"/>
          <w:color w:val="000000" w:themeColor="text1"/>
          <w:sz w:val="22"/>
          <w:szCs w:val="22"/>
          <w:lang w:val="es-ES"/>
        </w:rPr>
        <w:t>Deepwater</w:t>
      </w:r>
      <w:proofErr w:type="spellEnd"/>
      <w:r w:rsidRPr="73C8AC37">
        <w:rPr>
          <w:rFonts w:ascii="Aptos" w:hAnsi="Aptos" w:eastAsia="Aptos" w:cs="Aptos"/>
          <w:color w:val="000000" w:themeColor="text1"/>
          <w:sz w:val="22"/>
          <w:szCs w:val="22"/>
          <w:lang w:val="es-ES"/>
        </w:rPr>
        <w:t xml:space="preserve"> Horizon permite examinar cómo la complejidad interorganizacional y la presión competitiva pueden erosionar la coherencia del sistema de gestión del riesgo. A diferencia de Chernóbil, donde predominaba la centralización estatal, aquí el riesgo se configuró en una red corporativa con responsabilidades distribuidas, lo que complejiza la atribución de fallas y la coordinación efectiva.</w:t>
      </w:r>
    </w:p>
    <w:p w:rsidR="00271506" w:rsidP="00271506" w:rsidRDefault="6E009B4A" w14:paraId="130BB09F" w14:textId="35D8BC3F">
      <w:pPr>
        <w:spacing w:before="240" w:after="240"/>
        <w:jc w:val="both"/>
        <w:rPr>
          <w:rFonts w:ascii="Aptos" w:hAnsi="Aptos" w:eastAsia="Aptos" w:cs="Aptos"/>
          <w:color w:val="000000" w:themeColor="text1"/>
          <w:sz w:val="22"/>
          <w:szCs w:val="22"/>
          <w:lang w:val="es-ES"/>
        </w:rPr>
      </w:pPr>
      <w:r w:rsidRPr="73C8AC37">
        <w:rPr>
          <w:rFonts w:ascii="Aptos" w:hAnsi="Aptos" w:eastAsia="Aptos" w:cs="Aptos"/>
          <w:color w:val="000000" w:themeColor="text1"/>
          <w:sz w:val="22"/>
          <w:szCs w:val="22"/>
          <w:lang w:val="es-ES"/>
        </w:rPr>
        <w:t xml:space="preserve">Mientras Chernóbil evidencia los riesgos asociados a la concentración jerárquica y la opacidad institucional, </w:t>
      </w:r>
      <w:proofErr w:type="spellStart"/>
      <w:r w:rsidRPr="73C8AC37">
        <w:rPr>
          <w:rFonts w:ascii="Aptos" w:hAnsi="Aptos" w:eastAsia="Aptos" w:cs="Aptos"/>
          <w:color w:val="000000" w:themeColor="text1"/>
          <w:sz w:val="22"/>
          <w:szCs w:val="22"/>
          <w:lang w:val="es-ES"/>
        </w:rPr>
        <w:t>Deepwater</w:t>
      </w:r>
      <w:proofErr w:type="spellEnd"/>
      <w:r w:rsidRPr="73C8AC37">
        <w:rPr>
          <w:rFonts w:ascii="Aptos" w:hAnsi="Aptos" w:eastAsia="Aptos" w:cs="Aptos"/>
          <w:color w:val="000000" w:themeColor="text1"/>
          <w:sz w:val="22"/>
          <w:szCs w:val="22"/>
          <w:lang w:val="es-ES"/>
        </w:rPr>
        <w:t xml:space="preserve"> Horizon muestra cómo la fragmentación organizacional y los incentivos de mercado pueden generar vulnerabilidades igualmente significativas. Ambos casos, desde estructuras distintas, convergen en un punto crítico: la incapacidad institucional de traducir información técnica disponible en decisiones preventivas oportunas.</w:t>
      </w:r>
    </w:p>
    <w:p w:rsidRPr="00271506" w:rsidR="00603261" w:rsidP="00603261" w:rsidRDefault="00603261" w14:paraId="4F660D0B" w14:textId="77777777">
      <w:pPr>
        <w:spacing w:after="0"/>
        <w:jc w:val="both"/>
        <w:rPr>
          <w:rFonts w:ascii="Aptos" w:hAnsi="Aptos" w:eastAsia="Aptos" w:cs="Aptos"/>
          <w:color w:val="000000" w:themeColor="text1"/>
          <w:sz w:val="22"/>
          <w:szCs w:val="22"/>
          <w:lang w:val="es-ES"/>
        </w:rPr>
      </w:pPr>
    </w:p>
    <w:p w:rsidRPr="001A0FD5" w:rsidR="008C0C32" w:rsidP="008160B5" w:rsidRDefault="00BB51A6" w14:paraId="3B303D8F" w14:textId="6186ACE9">
      <w:pPr>
        <w:pStyle w:val="Ttulo2"/>
        <w:numPr>
          <w:ilvl w:val="1"/>
          <w:numId w:val="6"/>
        </w:numPr>
        <w:ind w:left="567" w:firstLine="0"/>
        <w:rPr>
          <w:rFonts w:eastAsia="Times New Roman" w:asciiTheme="minorHAnsi" w:hAnsiTheme="minorHAnsi"/>
          <w:b/>
          <w:bCs/>
          <w:color w:val="auto"/>
          <w:sz w:val="24"/>
          <w:szCs w:val="24"/>
        </w:rPr>
      </w:pPr>
      <w:bookmarkStart w:name="_Toc225160608" w:id="13"/>
      <w:r w:rsidRPr="001A0FD5">
        <w:rPr>
          <w:rFonts w:eastAsia="Times New Roman" w:asciiTheme="minorHAnsi" w:hAnsiTheme="minorHAnsi"/>
          <w:b/>
          <w:bCs/>
          <w:color w:val="auto"/>
          <w:sz w:val="24"/>
          <w:szCs w:val="24"/>
        </w:rPr>
        <w:t>Grandes proyectos de</w:t>
      </w:r>
      <w:r w:rsidRPr="001A0FD5" w:rsidR="00997519">
        <w:rPr>
          <w:rFonts w:eastAsia="Times New Roman" w:asciiTheme="minorHAnsi" w:hAnsiTheme="minorHAnsi"/>
          <w:b/>
          <w:bCs/>
          <w:color w:val="auto"/>
          <w:sz w:val="24"/>
          <w:szCs w:val="24"/>
        </w:rPr>
        <w:t xml:space="preserve"> </w:t>
      </w:r>
      <w:r w:rsidRPr="001A0FD5" w:rsidR="008C0C32">
        <w:rPr>
          <w:rFonts w:eastAsia="Times New Roman" w:asciiTheme="minorHAnsi" w:hAnsiTheme="minorHAnsi"/>
          <w:b/>
          <w:bCs/>
          <w:color w:val="auto"/>
          <w:sz w:val="24"/>
          <w:szCs w:val="24"/>
        </w:rPr>
        <w:t>infraestructura</w:t>
      </w:r>
      <w:bookmarkEnd w:id="13"/>
    </w:p>
    <w:p w:rsidR="00103AD4" w:rsidP="00103AD4" w:rsidRDefault="00103AD4" w14:paraId="72BA9499" w14:textId="77777777">
      <w:pPr>
        <w:rPr>
          <w:highlight w:val="yellow"/>
        </w:rPr>
      </w:pPr>
    </w:p>
    <w:p w:rsidR="00103AD4" w:rsidP="00103AD4" w:rsidRDefault="00103AD4" w14:paraId="08C424D4" w14:textId="3E17E8F3">
      <w:pPr>
        <w:jc w:val="both"/>
        <w:rPr>
          <w:sz w:val="22"/>
          <w:szCs w:val="22"/>
        </w:rPr>
      </w:pPr>
      <w:r w:rsidRPr="0029503B">
        <w:rPr>
          <w:sz w:val="22"/>
          <w:szCs w:val="22"/>
        </w:rPr>
        <w:t xml:space="preserve">Los grandes proyectos de infraestructura incorporan como regla general, una estructura contractual compleja que debe responder a las necesidades del proyecto, la propiedad de las obras y estructuras, el manejo y </w:t>
      </w:r>
      <w:r w:rsidRPr="0029503B" w:rsidR="00D437BF">
        <w:rPr>
          <w:sz w:val="22"/>
          <w:szCs w:val="22"/>
        </w:rPr>
        <w:t xml:space="preserve">la </w:t>
      </w:r>
      <w:r w:rsidRPr="0029503B">
        <w:rPr>
          <w:sz w:val="22"/>
          <w:szCs w:val="22"/>
        </w:rPr>
        <w:t xml:space="preserve">administración del riesgo, la financiación y claro </w:t>
      </w:r>
      <w:r w:rsidRPr="0029503B" w:rsidR="00EA11FF">
        <w:rPr>
          <w:sz w:val="22"/>
          <w:szCs w:val="22"/>
        </w:rPr>
        <w:t>está</w:t>
      </w:r>
      <w:r w:rsidRPr="0029503B">
        <w:rPr>
          <w:sz w:val="22"/>
          <w:szCs w:val="22"/>
        </w:rPr>
        <w:t xml:space="preserve"> la construcción de las obras</w:t>
      </w:r>
      <w:r w:rsidRPr="0029503B" w:rsidR="00FA777E">
        <w:rPr>
          <w:sz w:val="22"/>
          <w:szCs w:val="22"/>
        </w:rPr>
        <w:t xml:space="preserve"> (Rodríguez, 2007).</w:t>
      </w:r>
    </w:p>
    <w:p w:rsidR="00095F85" w:rsidP="00103AD4" w:rsidRDefault="00095F85" w14:paraId="6C7C5137" w14:textId="77777777">
      <w:pPr>
        <w:jc w:val="both"/>
        <w:rPr>
          <w:sz w:val="22"/>
          <w:szCs w:val="22"/>
        </w:rPr>
      </w:pPr>
    </w:p>
    <w:p w:rsidRPr="001F0C46" w:rsidR="009015A1" w:rsidP="008160B5" w:rsidRDefault="002E3859" w14:paraId="54E95259" w14:textId="421C607E">
      <w:pPr>
        <w:pStyle w:val="Ttulo3"/>
        <w:numPr>
          <w:ilvl w:val="2"/>
          <w:numId w:val="6"/>
        </w:numPr>
        <w:ind w:left="567" w:firstLine="0"/>
        <w:rPr>
          <w:b/>
          <w:bCs/>
          <w:color w:val="auto"/>
          <w:sz w:val="24"/>
          <w:szCs w:val="24"/>
        </w:rPr>
      </w:pPr>
      <w:bookmarkStart w:name="_Toc225160609" w:id="14"/>
      <w:r w:rsidRPr="001F0C46">
        <w:rPr>
          <w:b/>
          <w:bCs/>
          <w:color w:val="auto"/>
          <w:sz w:val="24"/>
          <w:szCs w:val="24"/>
        </w:rPr>
        <w:lastRenderedPageBreak/>
        <w:t>Desastre del Transbordador Espacial Challenger (1986)</w:t>
      </w:r>
      <w:bookmarkEnd w:id="14"/>
    </w:p>
    <w:p w:rsidRPr="001F0C46" w:rsidR="00095F85" w:rsidP="001F0C46" w:rsidRDefault="00095F85" w14:paraId="7BCCEE3D" w14:textId="77777777">
      <w:pPr>
        <w:pStyle w:val="Ttulo3"/>
        <w:rPr>
          <w:b/>
          <w:bCs/>
          <w:color w:val="auto"/>
          <w:sz w:val="24"/>
          <w:szCs w:val="24"/>
        </w:rPr>
      </w:pPr>
    </w:p>
    <w:p w:rsidRPr="00883333" w:rsidR="00C74DFA" w:rsidP="00DE2F73" w:rsidRDefault="00DF0ECF" w14:paraId="1EE82D38" w14:textId="68B76870">
      <w:pPr>
        <w:jc w:val="both"/>
        <w:rPr>
          <w:sz w:val="22"/>
          <w:szCs w:val="22"/>
        </w:rPr>
      </w:pPr>
      <w:r w:rsidRPr="003F795C">
        <w:rPr>
          <w:sz w:val="22"/>
          <w:szCs w:val="22"/>
        </w:rPr>
        <w:t>El 28 de enero de 1986</w:t>
      </w:r>
      <w:r w:rsidRPr="003F795C" w:rsidR="00987722">
        <w:rPr>
          <w:sz w:val="22"/>
          <w:szCs w:val="22"/>
        </w:rPr>
        <w:t xml:space="preserve"> el transbordado espacial Challenger se desintegró en el aire frente a las </w:t>
      </w:r>
      <w:r w:rsidRPr="003F795C" w:rsidR="00692A58">
        <w:rPr>
          <w:sz w:val="22"/>
          <w:szCs w:val="22"/>
        </w:rPr>
        <w:t>costas de Florida (Estados Unidos)</w:t>
      </w:r>
      <w:r w:rsidRPr="003F795C" w:rsidR="00577A0D">
        <w:rPr>
          <w:sz w:val="22"/>
          <w:szCs w:val="22"/>
        </w:rPr>
        <w:t>, 73 segundos</w:t>
      </w:r>
      <w:r w:rsidRPr="003F795C" w:rsidR="00577A0D">
        <w:rPr>
          <w:b/>
          <w:bCs/>
          <w:sz w:val="22"/>
          <w:szCs w:val="22"/>
        </w:rPr>
        <w:t> </w:t>
      </w:r>
      <w:r w:rsidRPr="00FF4D8C" w:rsidR="00FF4D8C">
        <w:rPr>
          <w:sz w:val="22"/>
          <w:szCs w:val="22"/>
        </w:rPr>
        <w:t>después de haber despegado en el Centro Espacial John Fitzgerald Kennedy</w:t>
      </w:r>
      <w:r w:rsidR="00AA056F">
        <w:rPr>
          <w:sz w:val="22"/>
          <w:szCs w:val="22"/>
        </w:rPr>
        <w:t xml:space="preserve"> y cobrando la vida de sus siete (7) tripulantes</w:t>
      </w:r>
      <w:r w:rsidR="0064610E">
        <w:rPr>
          <w:sz w:val="22"/>
          <w:szCs w:val="22"/>
        </w:rPr>
        <w:t>. Menos de minu</w:t>
      </w:r>
      <w:r w:rsidR="00EA2C88">
        <w:rPr>
          <w:sz w:val="22"/>
          <w:szCs w:val="22"/>
        </w:rPr>
        <w:t>to y medio</w:t>
      </w:r>
      <w:r w:rsidRPr="00FF4D8C" w:rsidR="00FF4D8C">
        <w:rPr>
          <w:sz w:val="22"/>
          <w:szCs w:val="22"/>
        </w:rPr>
        <w:t xml:space="preserve"> </w:t>
      </w:r>
      <w:r w:rsidRPr="003F795C" w:rsidR="00577A0D">
        <w:rPr>
          <w:sz w:val="22"/>
          <w:szCs w:val="22"/>
        </w:rPr>
        <w:t xml:space="preserve">fueron suficientes para consumar </w:t>
      </w:r>
      <w:r w:rsidRPr="003F795C" w:rsidR="001214A1">
        <w:rPr>
          <w:sz w:val="22"/>
          <w:szCs w:val="22"/>
        </w:rPr>
        <w:t>uno de los</w:t>
      </w:r>
      <w:r w:rsidRPr="003F795C" w:rsidR="00577A0D">
        <w:rPr>
          <w:sz w:val="22"/>
          <w:szCs w:val="22"/>
        </w:rPr>
        <w:t xml:space="preserve"> desastre</w:t>
      </w:r>
      <w:r w:rsidRPr="003F795C" w:rsidR="001214A1">
        <w:rPr>
          <w:sz w:val="22"/>
          <w:szCs w:val="22"/>
        </w:rPr>
        <w:t>s</w:t>
      </w:r>
      <w:r w:rsidRPr="003F795C" w:rsidR="00BE17E4">
        <w:rPr>
          <w:sz w:val="22"/>
          <w:szCs w:val="22"/>
        </w:rPr>
        <w:t xml:space="preserve"> espaciales más impactantes de la historia de la NASA. Esta misión </w:t>
      </w:r>
      <w:r w:rsidRPr="003F795C" w:rsidR="003F795C">
        <w:rPr>
          <w:sz w:val="22"/>
          <w:szCs w:val="22"/>
        </w:rPr>
        <w:t>(STS-51-L) tenía dos objetivos principales</w:t>
      </w:r>
      <w:r w:rsidR="005B4118">
        <w:rPr>
          <w:sz w:val="22"/>
          <w:szCs w:val="22"/>
        </w:rPr>
        <w:t>:</w:t>
      </w:r>
      <w:r w:rsidR="00883333">
        <w:rPr>
          <w:sz w:val="22"/>
          <w:szCs w:val="22"/>
        </w:rPr>
        <w:t xml:space="preserve"> p</w:t>
      </w:r>
      <w:r w:rsidRPr="003F795C" w:rsidR="003F795C">
        <w:rPr>
          <w:sz w:val="22"/>
          <w:szCs w:val="22"/>
        </w:rPr>
        <w:t xml:space="preserve">or un lado, </w:t>
      </w:r>
      <w:r w:rsidR="004B64C5">
        <w:rPr>
          <w:sz w:val="22"/>
          <w:szCs w:val="22"/>
        </w:rPr>
        <w:t>debía</w:t>
      </w:r>
      <w:r w:rsidRPr="003F795C" w:rsidR="003F795C">
        <w:rPr>
          <w:sz w:val="22"/>
          <w:szCs w:val="22"/>
        </w:rPr>
        <w:t xml:space="preserve"> poner en órbita un satélite de seguimiento y retransmisión de datos que ayudaría a mejorar las redes de comunicación</w:t>
      </w:r>
      <w:r w:rsidR="003912D4">
        <w:rPr>
          <w:sz w:val="22"/>
          <w:szCs w:val="22"/>
        </w:rPr>
        <w:t>,</w:t>
      </w:r>
      <w:r w:rsidR="003F795C">
        <w:rPr>
          <w:sz w:val="22"/>
          <w:szCs w:val="22"/>
        </w:rPr>
        <w:t xml:space="preserve"> y por </w:t>
      </w:r>
      <w:r w:rsidR="003912D4">
        <w:rPr>
          <w:sz w:val="22"/>
          <w:szCs w:val="22"/>
        </w:rPr>
        <w:t xml:space="preserve">el otro, </w:t>
      </w:r>
      <w:r w:rsidRPr="003F795C" w:rsidR="003F795C">
        <w:rPr>
          <w:sz w:val="22"/>
          <w:szCs w:val="22"/>
        </w:rPr>
        <w:t>recuperaría el satélite astronómico SPARTAN-Halley, dedicado exclusivamente al estudio del cometa Halley.</w:t>
      </w:r>
      <w:r w:rsidR="00883333">
        <w:rPr>
          <w:sz w:val="22"/>
          <w:szCs w:val="22"/>
        </w:rPr>
        <w:t xml:space="preserve"> Asimismo, </w:t>
      </w:r>
      <w:r w:rsidRPr="00883333" w:rsidR="00883333">
        <w:rPr>
          <w:sz w:val="22"/>
          <w:szCs w:val="22"/>
        </w:rPr>
        <w:t>la misión representaba un hito para la navegación aeroespacial</w:t>
      </w:r>
      <w:r w:rsidR="001127D7">
        <w:rPr>
          <w:sz w:val="22"/>
          <w:szCs w:val="22"/>
        </w:rPr>
        <w:t xml:space="preserve"> a</w:t>
      </w:r>
      <w:r w:rsidRPr="00883333" w:rsidR="00883333">
        <w:rPr>
          <w:sz w:val="22"/>
          <w:szCs w:val="22"/>
        </w:rPr>
        <w:t xml:space="preserve"> través del programa </w:t>
      </w:r>
      <w:r w:rsidRPr="001127D7" w:rsidR="00883333">
        <w:rPr>
          <w:i/>
          <w:iCs/>
          <w:sz w:val="22"/>
          <w:szCs w:val="22"/>
        </w:rPr>
        <w:t>“Teacher in Space</w:t>
      </w:r>
      <w:r w:rsidRPr="00883333" w:rsidR="00883333">
        <w:rPr>
          <w:sz w:val="22"/>
          <w:szCs w:val="22"/>
        </w:rPr>
        <w:t xml:space="preserve">”, </w:t>
      </w:r>
      <w:r w:rsidR="001127D7">
        <w:rPr>
          <w:sz w:val="22"/>
          <w:szCs w:val="22"/>
        </w:rPr>
        <w:t xml:space="preserve">donde por primera vez en la historia de la NASA un civil (docente </w:t>
      </w:r>
      <w:r w:rsidRPr="00883333" w:rsidR="001127D7">
        <w:rPr>
          <w:sz w:val="22"/>
          <w:szCs w:val="22"/>
        </w:rPr>
        <w:t>Christa McAuliffe</w:t>
      </w:r>
      <w:r w:rsidR="001127D7">
        <w:rPr>
          <w:sz w:val="22"/>
          <w:szCs w:val="22"/>
        </w:rPr>
        <w:t xml:space="preserve">) hacía parte de la tripulación y había sido seleccionada </w:t>
      </w:r>
      <w:r w:rsidRPr="00883333" w:rsidR="00883333">
        <w:rPr>
          <w:sz w:val="22"/>
          <w:szCs w:val="22"/>
        </w:rPr>
        <w:t xml:space="preserve">entre </w:t>
      </w:r>
      <w:r w:rsidR="00A63A7B">
        <w:rPr>
          <w:sz w:val="22"/>
          <w:szCs w:val="22"/>
        </w:rPr>
        <w:t xml:space="preserve">casi </w:t>
      </w:r>
      <w:r w:rsidR="008D0D54">
        <w:rPr>
          <w:sz w:val="22"/>
          <w:szCs w:val="22"/>
        </w:rPr>
        <w:t>12.000 aspirantes</w:t>
      </w:r>
      <w:r w:rsidR="00830B37">
        <w:rPr>
          <w:sz w:val="22"/>
          <w:szCs w:val="22"/>
        </w:rPr>
        <w:t xml:space="preserve"> (Roffo, 2026)</w:t>
      </w:r>
      <w:r w:rsidR="008D0D54">
        <w:rPr>
          <w:sz w:val="22"/>
          <w:szCs w:val="22"/>
        </w:rPr>
        <w:t>.</w:t>
      </w:r>
    </w:p>
    <w:p w:rsidR="001D23BA" w:rsidP="00DE2F73" w:rsidRDefault="00E6255A" w14:paraId="137A564E" w14:textId="33390CF9">
      <w:pPr>
        <w:jc w:val="both"/>
        <w:rPr>
          <w:sz w:val="22"/>
          <w:szCs w:val="22"/>
        </w:rPr>
      </w:pPr>
      <w:r>
        <w:rPr>
          <w:sz w:val="22"/>
          <w:szCs w:val="22"/>
        </w:rPr>
        <w:t>Dentro de la información recopilada de los procesos de investigación se conoció que l</w:t>
      </w:r>
      <w:r w:rsidR="001D23BA">
        <w:rPr>
          <w:sz w:val="22"/>
          <w:szCs w:val="22"/>
        </w:rPr>
        <w:t xml:space="preserve">a noche anterior a la tragedia </w:t>
      </w:r>
      <w:r w:rsidR="00D31904">
        <w:rPr>
          <w:sz w:val="22"/>
          <w:szCs w:val="22"/>
        </w:rPr>
        <w:t xml:space="preserve">ingenieros </w:t>
      </w:r>
      <w:r w:rsidR="009C08C3">
        <w:rPr>
          <w:sz w:val="22"/>
          <w:szCs w:val="22"/>
        </w:rPr>
        <w:t>de</w:t>
      </w:r>
      <w:r w:rsidR="00D31904">
        <w:rPr>
          <w:sz w:val="22"/>
          <w:szCs w:val="22"/>
        </w:rPr>
        <w:t xml:space="preserve"> Morton </w:t>
      </w:r>
      <w:proofErr w:type="spellStart"/>
      <w:r w:rsidR="00D31904">
        <w:rPr>
          <w:sz w:val="22"/>
          <w:szCs w:val="22"/>
        </w:rPr>
        <w:t>Thiokol</w:t>
      </w:r>
      <w:proofErr w:type="spellEnd"/>
      <w:r w:rsidR="00D31904">
        <w:rPr>
          <w:sz w:val="22"/>
          <w:szCs w:val="22"/>
        </w:rPr>
        <w:t xml:space="preserve"> advirtieron que las bajas </w:t>
      </w:r>
      <w:r w:rsidRPr="00E91ABB" w:rsidR="00E91ABB">
        <w:rPr>
          <w:sz w:val="22"/>
          <w:szCs w:val="22"/>
        </w:rPr>
        <w:t xml:space="preserve">temperaturas podían afectar las juntas tóricas del cohete, cruciales para evitar fugas de hidrógeno. A pesar de las </w:t>
      </w:r>
      <w:r w:rsidR="00615712">
        <w:rPr>
          <w:sz w:val="22"/>
          <w:szCs w:val="22"/>
        </w:rPr>
        <w:t>alertas,</w:t>
      </w:r>
      <w:r w:rsidRPr="00E91ABB" w:rsidR="00E91ABB">
        <w:rPr>
          <w:sz w:val="22"/>
          <w:szCs w:val="22"/>
        </w:rPr>
        <w:t xml:space="preserve"> la NASA decidió seguir adelante con el lanzamiento para no retrasar el </w:t>
      </w:r>
      <w:r w:rsidR="00615712">
        <w:rPr>
          <w:sz w:val="22"/>
          <w:szCs w:val="22"/>
        </w:rPr>
        <w:t>cronograma</w:t>
      </w:r>
      <w:r w:rsidRPr="00E91ABB" w:rsidR="00E91ABB">
        <w:rPr>
          <w:sz w:val="22"/>
          <w:szCs w:val="22"/>
        </w:rPr>
        <w:t xml:space="preserve">. </w:t>
      </w:r>
    </w:p>
    <w:p w:rsidR="0052387B" w:rsidP="00DE2F73" w:rsidRDefault="0052387B" w14:paraId="2972931B" w14:textId="09E54225">
      <w:pPr>
        <w:jc w:val="both"/>
        <w:rPr>
          <w:sz w:val="22"/>
          <w:szCs w:val="22"/>
        </w:rPr>
      </w:pPr>
      <w:r>
        <w:rPr>
          <w:sz w:val="22"/>
          <w:szCs w:val="22"/>
        </w:rPr>
        <w:t xml:space="preserve">Para comprender </w:t>
      </w:r>
      <w:r w:rsidR="00AC44BF">
        <w:rPr>
          <w:sz w:val="22"/>
          <w:szCs w:val="22"/>
        </w:rPr>
        <w:t>el desastre</w:t>
      </w:r>
      <w:r w:rsidR="0041179A">
        <w:rPr>
          <w:sz w:val="22"/>
          <w:szCs w:val="22"/>
        </w:rPr>
        <w:t>,</w:t>
      </w:r>
      <w:r w:rsidR="00AC44BF">
        <w:rPr>
          <w:sz w:val="22"/>
          <w:szCs w:val="22"/>
        </w:rPr>
        <w:t xml:space="preserve"> vale la pena considerar los antecedentes de</w:t>
      </w:r>
      <w:r w:rsidR="004F6079">
        <w:rPr>
          <w:sz w:val="22"/>
          <w:szCs w:val="22"/>
        </w:rPr>
        <w:t>l Challenger</w:t>
      </w:r>
      <w:r w:rsidR="00951E0E">
        <w:rPr>
          <w:sz w:val="22"/>
          <w:szCs w:val="22"/>
        </w:rPr>
        <w:t xml:space="preserve"> y las características de la </w:t>
      </w:r>
      <w:r w:rsidR="0041179A">
        <w:rPr>
          <w:sz w:val="22"/>
          <w:szCs w:val="22"/>
        </w:rPr>
        <w:t xml:space="preserve">NASA </w:t>
      </w:r>
      <w:r w:rsidR="00951E0E">
        <w:rPr>
          <w:sz w:val="22"/>
          <w:szCs w:val="22"/>
        </w:rPr>
        <w:t xml:space="preserve">con el fin de </w:t>
      </w:r>
      <w:r w:rsidR="00296897">
        <w:rPr>
          <w:sz w:val="22"/>
          <w:szCs w:val="22"/>
        </w:rPr>
        <w:t xml:space="preserve">comprender los factores que </w:t>
      </w:r>
      <w:r w:rsidR="000033AD">
        <w:rPr>
          <w:sz w:val="22"/>
          <w:szCs w:val="22"/>
        </w:rPr>
        <w:t xml:space="preserve">pudieron incidir en el fatal desenlace. </w:t>
      </w:r>
      <w:r w:rsidR="00E232E7">
        <w:rPr>
          <w:sz w:val="22"/>
          <w:szCs w:val="22"/>
        </w:rPr>
        <w:t>Diana Vaughan (19</w:t>
      </w:r>
      <w:r w:rsidR="00594759">
        <w:rPr>
          <w:sz w:val="22"/>
          <w:szCs w:val="22"/>
        </w:rPr>
        <w:t>90) desarrolla un análisis sobre el sistema regulatorio de seguridad de la NASA y</w:t>
      </w:r>
      <w:r w:rsidR="000944D6">
        <w:rPr>
          <w:sz w:val="22"/>
          <w:szCs w:val="22"/>
        </w:rPr>
        <w:t xml:space="preserve"> sus bases organizacionales, en este sentido, </w:t>
      </w:r>
      <w:r w:rsidR="009773C6">
        <w:rPr>
          <w:sz w:val="22"/>
          <w:szCs w:val="22"/>
        </w:rPr>
        <w:t xml:space="preserve">será necesario indagar sobre los aspectos </w:t>
      </w:r>
      <w:r w:rsidR="00996756">
        <w:rPr>
          <w:sz w:val="22"/>
          <w:szCs w:val="22"/>
        </w:rPr>
        <w:t>de la organización.</w:t>
      </w:r>
    </w:p>
    <w:p w:rsidR="00C9551F" w:rsidP="00C9551F" w:rsidRDefault="00C9551F" w14:paraId="21CE82F8" w14:textId="77777777">
      <w:pPr>
        <w:jc w:val="both"/>
        <w:rPr>
          <w:sz w:val="22"/>
          <w:szCs w:val="22"/>
        </w:rPr>
      </w:pPr>
      <w:r w:rsidRPr="003F795C">
        <w:rPr>
          <w:sz w:val="22"/>
          <w:szCs w:val="22"/>
        </w:rPr>
        <w:t>La Administración Nacional de Aeronáutica y del Espacio (NASA) constituye una organización singular debido a las características de su tamaño, su misión institucional, las restricciones bajo las que opera y las motivaciones que orientan su actividad. Aunque se trata de una de las agencias federales relativamente pequeñas, la NASA funciona como una estructura organizativa de gran alcance que emplea de manera directa a cerca de 18.000 personas y administra un presupuesto operativo aproximado de 15.000 millones de dólares (Hall, 2003).</w:t>
      </w:r>
    </w:p>
    <w:p w:rsidR="00C9551F" w:rsidP="00C9551F" w:rsidRDefault="00C9551F" w14:paraId="2A6EFE5C" w14:textId="77777777">
      <w:pPr>
        <w:jc w:val="both"/>
        <w:rPr>
          <w:sz w:val="22"/>
          <w:szCs w:val="22"/>
        </w:rPr>
      </w:pPr>
      <w:r>
        <w:rPr>
          <w:sz w:val="22"/>
          <w:szCs w:val="22"/>
        </w:rPr>
        <w:t>Debe entenderse que l</w:t>
      </w:r>
      <w:r w:rsidRPr="002E00FA">
        <w:rPr>
          <w:sz w:val="22"/>
          <w:szCs w:val="22"/>
        </w:rPr>
        <w:t xml:space="preserve">a NASA, como todas las organizaciones, está sujeta a </w:t>
      </w:r>
      <w:r>
        <w:rPr>
          <w:sz w:val="22"/>
          <w:szCs w:val="22"/>
        </w:rPr>
        <w:t xml:space="preserve">temas de </w:t>
      </w:r>
      <w:r w:rsidRPr="002E00FA">
        <w:rPr>
          <w:sz w:val="22"/>
          <w:szCs w:val="22"/>
        </w:rPr>
        <w:t xml:space="preserve">restricciones y control que ocurren como consecuencia de la interacción </w:t>
      </w:r>
      <w:r>
        <w:rPr>
          <w:sz w:val="22"/>
          <w:szCs w:val="22"/>
        </w:rPr>
        <w:t xml:space="preserve">de esta </w:t>
      </w:r>
      <w:r w:rsidRPr="002E00FA">
        <w:rPr>
          <w:sz w:val="22"/>
          <w:szCs w:val="22"/>
        </w:rPr>
        <w:t xml:space="preserve">con otras organizaciones en su entorno que actúan como consumidores, proveedores, competidores y controladores (Pfeffer y </w:t>
      </w:r>
      <w:proofErr w:type="spellStart"/>
      <w:r w:rsidRPr="002E00FA">
        <w:rPr>
          <w:sz w:val="22"/>
          <w:szCs w:val="22"/>
        </w:rPr>
        <w:t>Salancik</w:t>
      </w:r>
      <w:proofErr w:type="spellEnd"/>
      <w:r w:rsidRPr="002E00FA">
        <w:rPr>
          <w:sz w:val="22"/>
          <w:szCs w:val="22"/>
        </w:rPr>
        <w:t>, 1978</w:t>
      </w:r>
      <w:r>
        <w:rPr>
          <w:sz w:val="22"/>
          <w:szCs w:val="22"/>
        </w:rPr>
        <w:t>).</w:t>
      </w:r>
    </w:p>
    <w:p w:rsidR="005C50B4" w:rsidP="00F979B6" w:rsidRDefault="00475F32" w14:paraId="347106CD" w14:textId="7E972151">
      <w:pPr>
        <w:jc w:val="both"/>
        <w:rPr>
          <w:sz w:val="22"/>
          <w:szCs w:val="22"/>
        </w:rPr>
      </w:pPr>
      <w:r w:rsidRPr="00592053">
        <w:rPr>
          <w:sz w:val="22"/>
          <w:szCs w:val="22"/>
        </w:rPr>
        <w:t>Para el momento del desastre</w:t>
      </w:r>
      <w:r w:rsidRPr="00592053" w:rsidR="00294EAB">
        <w:rPr>
          <w:sz w:val="22"/>
          <w:szCs w:val="22"/>
        </w:rPr>
        <w:t xml:space="preserve"> y teniendo en cuenta el análisis de Vaughan (1990)</w:t>
      </w:r>
      <w:r w:rsidRPr="00592053" w:rsidR="00FB0BB8">
        <w:rPr>
          <w:sz w:val="22"/>
          <w:szCs w:val="22"/>
        </w:rPr>
        <w:t xml:space="preserve">, </w:t>
      </w:r>
      <w:r w:rsidRPr="00592053" w:rsidR="00E26995">
        <w:rPr>
          <w:sz w:val="22"/>
          <w:szCs w:val="22"/>
        </w:rPr>
        <w:t xml:space="preserve">la estructura organizacional del </w:t>
      </w:r>
      <w:r w:rsidRPr="00592053" w:rsidR="004538D4">
        <w:rPr>
          <w:sz w:val="22"/>
          <w:szCs w:val="22"/>
        </w:rPr>
        <w:t xml:space="preserve">programa del </w:t>
      </w:r>
      <w:r w:rsidRPr="00592053" w:rsidR="00E26995">
        <w:rPr>
          <w:sz w:val="22"/>
          <w:szCs w:val="22"/>
        </w:rPr>
        <w:t xml:space="preserve">transbordador tenía </w:t>
      </w:r>
      <w:r w:rsidRPr="00592053" w:rsidR="00F979B6">
        <w:rPr>
          <w:sz w:val="22"/>
          <w:szCs w:val="22"/>
        </w:rPr>
        <w:t>cuatro</w:t>
      </w:r>
      <w:r w:rsidRPr="00592053" w:rsidR="00E26995">
        <w:rPr>
          <w:sz w:val="22"/>
          <w:szCs w:val="22"/>
        </w:rPr>
        <w:t xml:space="preserve"> (</w:t>
      </w:r>
      <w:r w:rsidRPr="00592053" w:rsidR="00F979B6">
        <w:rPr>
          <w:sz w:val="22"/>
          <w:szCs w:val="22"/>
        </w:rPr>
        <w:t>4</w:t>
      </w:r>
      <w:r w:rsidRPr="00592053" w:rsidR="00E26995">
        <w:rPr>
          <w:sz w:val="22"/>
          <w:szCs w:val="22"/>
        </w:rPr>
        <w:t>) niveles</w:t>
      </w:r>
      <w:r w:rsidRPr="00592053" w:rsidR="00164995">
        <w:rPr>
          <w:sz w:val="22"/>
          <w:szCs w:val="22"/>
        </w:rPr>
        <w:t xml:space="preserve"> jerárquicos Antes de 1983, </w:t>
      </w:r>
      <w:r w:rsidRPr="00592053" w:rsidR="00F979B6">
        <w:rPr>
          <w:sz w:val="22"/>
          <w:szCs w:val="22"/>
        </w:rPr>
        <w:t xml:space="preserve">el Nivel III estaba obligado a reportar todos los problemas, tendencias y acciones de cierre de problemas al Nivel II, </w:t>
      </w:r>
      <w:r w:rsidRPr="00592053" w:rsidR="00DC762F">
        <w:rPr>
          <w:sz w:val="22"/>
          <w:szCs w:val="22"/>
        </w:rPr>
        <w:t>excepto fallas de</w:t>
      </w:r>
      <w:r w:rsidRPr="00592053" w:rsidR="00F979B6">
        <w:rPr>
          <w:sz w:val="22"/>
          <w:szCs w:val="22"/>
        </w:rPr>
        <w:t xml:space="preserve"> hardware que no </w:t>
      </w:r>
      <w:r w:rsidRPr="00592053" w:rsidR="00DC762F">
        <w:rPr>
          <w:sz w:val="22"/>
          <w:szCs w:val="22"/>
        </w:rPr>
        <w:t>representaran criticidad para</w:t>
      </w:r>
      <w:r w:rsidRPr="00592053" w:rsidR="00F979B6">
        <w:rPr>
          <w:sz w:val="22"/>
          <w:szCs w:val="22"/>
        </w:rPr>
        <w:t xml:space="preserve"> el vuelo”</w:t>
      </w:r>
      <w:r w:rsidRPr="00592053" w:rsidR="00DC762F">
        <w:rPr>
          <w:sz w:val="22"/>
          <w:szCs w:val="22"/>
        </w:rPr>
        <w:t xml:space="preserve">. </w:t>
      </w:r>
      <w:r w:rsidRPr="00592053" w:rsidR="00F979B6">
        <w:rPr>
          <w:sz w:val="22"/>
          <w:szCs w:val="22"/>
        </w:rPr>
        <w:t>En 1983, el director de</w:t>
      </w:r>
      <w:r w:rsidRPr="00592053" w:rsidR="0061681B">
        <w:rPr>
          <w:sz w:val="22"/>
          <w:szCs w:val="22"/>
        </w:rPr>
        <w:t xml:space="preserve">l </w:t>
      </w:r>
      <w:r w:rsidRPr="00C12BD2" w:rsidR="0061681B">
        <w:rPr>
          <w:i/>
          <w:iCs/>
          <w:sz w:val="22"/>
          <w:szCs w:val="22"/>
        </w:rPr>
        <w:t>Programa de Seguridad, Confiabilidad y Aseguramiento de la Calidad</w:t>
      </w:r>
      <w:r w:rsidRPr="00592053" w:rsidR="0061681B">
        <w:rPr>
          <w:sz w:val="22"/>
          <w:szCs w:val="22"/>
        </w:rPr>
        <w:t xml:space="preserve"> (</w:t>
      </w:r>
      <w:r w:rsidRPr="00592053" w:rsidR="00F979B6">
        <w:rPr>
          <w:sz w:val="22"/>
          <w:szCs w:val="22"/>
        </w:rPr>
        <w:t>SR&amp;QA</w:t>
      </w:r>
      <w:r w:rsidRPr="00592053" w:rsidR="0061681B">
        <w:rPr>
          <w:sz w:val="22"/>
          <w:szCs w:val="22"/>
        </w:rPr>
        <w:t>)</w:t>
      </w:r>
      <w:r w:rsidRPr="00592053" w:rsidR="00F979B6">
        <w:rPr>
          <w:sz w:val="22"/>
          <w:szCs w:val="22"/>
        </w:rPr>
        <w:t xml:space="preserve"> redujo los requisitos </w:t>
      </w:r>
      <w:r w:rsidRPr="00592053" w:rsidR="001B0CAB">
        <w:rPr>
          <w:sz w:val="22"/>
          <w:szCs w:val="22"/>
        </w:rPr>
        <w:t>de reporte de problemas. Lo que</w:t>
      </w:r>
      <w:r w:rsidRPr="00592053" w:rsidR="00351C4C">
        <w:rPr>
          <w:sz w:val="22"/>
          <w:szCs w:val="22"/>
        </w:rPr>
        <w:t xml:space="preserve"> llevó a tener menos </w:t>
      </w:r>
      <w:r w:rsidRPr="00592053" w:rsidR="00351C4C">
        <w:rPr>
          <w:sz w:val="22"/>
          <w:szCs w:val="22"/>
        </w:rPr>
        <w:lastRenderedPageBreak/>
        <w:t>documentación y menos condiciones de reporte</w:t>
      </w:r>
      <w:r w:rsidRPr="00592053" w:rsidR="004405CF">
        <w:rPr>
          <w:sz w:val="22"/>
          <w:szCs w:val="22"/>
        </w:rPr>
        <w:t xml:space="preserve"> que reemplazaron directivas previas que establecían que todos </w:t>
      </w:r>
      <w:r w:rsidRPr="00592053" w:rsidR="00F979B6">
        <w:rPr>
          <w:sz w:val="22"/>
          <w:szCs w:val="22"/>
        </w:rPr>
        <w:t xml:space="preserve">los problemas de seguridad </w:t>
      </w:r>
      <w:r w:rsidRPr="00592053" w:rsidR="004405CF">
        <w:rPr>
          <w:sz w:val="22"/>
          <w:szCs w:val="22"/>
        </w:rPr>
        <w:t xml:space="preserve">debían ser </w:t>
      </w:r>
      <w:r w:rsidRPr="00592053" w:rsidR="00F979B6">
        <w:rPr>
          <w:sz w:val="22"/>
          <w:szCs w:val="22"/>
        </w:rPr>
        <w:t>reportados a los niveles superiores en la jerarquía de la NASA (Comisión Presidencial, 1986, 1: 154).</w:t>
      </w:r>
      <w:r w:rsidR="00832A5A">
        <w:rPr>
          <w:sz w:val="22"/>
          <w:szCs w:val="22"/>
        </w:rPr>
        <w:t xml:space="preserve"> </w:t>
      </w:r>
      <w:r w:rsidR="00110E53">
        <w:rPr>
          <w:sz w:val="22"/>
          <w:szCs w:val="22"/>
        </w:rPr>
        <w:t xml:space="preserve">Para comprender mejor </w:t>
      </w:r>
      <w:r w:rsidR="00D915E6">
        <w:rPr>
          <w:sz w:val="22"/>
          <w:szCs w:val="22"/>
        </w:rPr>
        <w:t xml:space="preserve">los niveles </w:t>
      </w:r>
      <w:r w:rsidR="00B5171C">
        <w:rPr>
          <w:sz w:val="22"/>
          <w:szCs w:val="22"/>
        </w:rPr>
        <w:t>se describen</w:t>
      </w:r>
      <w:r w:rsidR="00AC39CB">
        <w:rPr>
          <w:sz w:val="22"/>
          <w:szCs w:val="22"/>
        </w:rPr>
        <w:t xml:space="preserve"> a partir de</w:t>
      </w:r>
      <w:r w:rsidR="003E0076">
        <w:rPr>
          <w:sz w:val="22"/>
          <w:szCs w:val="22"/>
        </w:rPr>
        <w:t xml:space="preserve"> los</w:t>
      </w:r>
      <w:r w:rsidR="00AC39CB">
        <w:rPr>
          <w:sz w:val="22"/>
          <w:szCs w:val="22"/>
        </w:rPr>
        <w:t xml:space="preserve"> análisis de Vaughan (1990)</w:t>
      </w:r>
      <w:r w:rsidR="00F2602C">
        <w:rPr>
          <w:sz w:val="22"/>
          <w:szCs w:val="22"/>
        </w:rPr>
        <w:t xml:space="preserve">: </w:t>
      </w:r>
    </w:p>
    <w:p w:rsidRPr="005C50B4" w:rsidR="003C30E0" w:rsidP="005C50B4" w:rsidRDefault="005C50B4" w14:paraId="4B8A4593" w14:textId="480D64D9">
      <w:pPr>
        <w:spacing w:after="0"/>
        <w:ind w:left="709" w:right="616"/>
        <w:jc w:val="both"/>
        <w:rPr>
          <w:i/>
          <w:iCs/>
          <w:sz w:val="18"/>
          <w:szCs w:val="18"/>
        </w:rPr>
      </w:pPr>
      <w:r w:rsidRPr="005C50B4">
        <w:rPr>
          <w:b/>
          <w:bCs/>
          <w:i/>
          <w:iCs/>
          <w:sz w:val="18"/>
          <w:szCs w:val="18"/>
        </w:rPr>
        <w:t xml:space="preserve">(…) </w:t>
      </w:r>
      <w:r w:rsidRPr="005C50B4" w:rsidR="003C30E0">
        <w:rPr>
          <w:b/>
          <w:bCs/>
          <w:i/>
          <w:iCs/>
          <w:sz w:val="18"/>
          <w:szCs w:val="18"/>
        </w:rPr>
        <w:t>Nivel I.</w:t>
      </w:r>
      <w:r w:rsidRPr="005C50B4" w:rsidR="003C30E0">
        <w:rPr>
          <w:i/>
          <w:iCs/>
          <w:sz w:val="18"/>
          <w:szCs w:val="18"/>
        </w:rPr>
        <w:t xml:space="preserve"> Administrador asociado para vuelos espaciales. Responsable de la política, presupuesto y asuntos técnicos de nivel superior.</w:t>
      </w:r>
    </w:p>
    <w:p w:rsidRPr="005C50B4" w:rsidR="003C30E0" w:rsidP="005C50B4" w:rsidRDefault="003C30E0" w14:paraId="032DEB87" w14:textId="1CD51598">
      <w:pPr>
        <w:spacing w:after="0"/>
        <w:ind w:left="709" w:right="616"/>
        <w:jc w:val="both"/>
        <w:rPr>
          <w:i/>
          <w:iCs/>
          <w:sz w:val="18"/>
          <w:szCs w:val="18"/>
        </w:rPr>
      </w:pPr>
      <w:r w:rsidRPr="005C50B4">
        <w:rPr>
          <w:b/>
          <w:bCs/>
          <w:i/>
          <w:iCs/>
          <w:sz w:val="18"/>
          <w:szCs w:val="18"/>
        </w:rPr>
        <w:t>Nivel II.</w:t>
      </w:r>
      <w:r w:rsidRPr="005C50B4">
        <w:rPr>
          <w:i/>
          <w:iCs/>
          <w:sz w:val="18"/>
          <w:szCs w:val="18"/>
        </w:rPr>
        <w:t xml:space="preserve"> Gerente, Programa Nacional de Transporte Espacial. Responsable de la línea base y los requisitos del programa del transbordador. Proporciona supervisión técnica en nombre del Nivel I.</w:t>
      </w:r>
    </w:p>
    <w:p w:rsidRPr="005C50B4" w:rsidR="003C30E0" w:rsidP="005C50B4" w:rsidRDefault="003C30E0" w14:paraId="071BEEE9" w14:textId="59CDFC7E">
      <w:pPr>
        <w:spacing w:after="0"/>
        <w:ind w:left="709" w:right="616"/>
        <w:jc w:val="both"/>
        <w:rPr>
          <w:i/>
          <w:iCs/>
          <w:sz w:val="18"/>
          <w:szCs w:val="18"/>
        </w:rPr>
      </w:pPr>
      <w:r w:rsidRPr="005C50B4">
        <w:rPr>
          <w:b/>
          <w:bCs/>
          <w:i/>
          <w:iCs/>
          <w:sz w:val="18"/>
          <w:szCs w:val="18"/>
        </w:rPr>
        <w:t>Nivel III</w:t>
      </w:r>
      <w:r w:rsidRPr="005C50B4">
        <w:rPr>
          <w:i/>
          <w:iCs/>
          <w:sz w:val="18"/>
          <w:szCs w:val="18"/>
        </w:rPr>
        <w:t>. Gerentes de programa para el orbitador, el propulsor de cohete sólido, el tanque externo y el motor principal del transbordador. Responsables del desarrollo, pruebas y entrega del hardware al sitio de lanzamiento.</w:t>
      </w:r>
    </w:p>
    <w:p w:rsidR="00C60DAF" w:rsidP="00FB781B" w:rsidRDefault="003C30E0" w14:paraId="52CC7E64" w14:textId="3A2BC94F">
      <w:pPr>
        <w:spacing w:after="0" w:line="240" w:lineRule="auto"/>
        <w:ind w:left="709" w:right="616"/>
        <w:jc w:val="both"/>
        <w:rPr>
          <w:i/>
          <w:iCs/>
          <w:sz w:val="18"/>
          <w:szCs w:val="18"/>
        </w:rPr>
      </w:pPr>
      <w:r w:rsidRPr="005C50B4">
        <w:rPr>
          <w:b/>
          <w:bCs/>
          <w:i/>
          <w:iCs/>
          <w:sz w:val="18"/>
          <w:szCs w:val="18"/>
        </w:rPr>
        <w:t>Nivel IV.</w:t>
      </w:r>
      <w:r w:rsidRPr="005C50B4">
        <w:rPr>
          <w:i/>
          <w:iCs/>
          <w:sz w:val="18"/>
          <w:szCs w:val="18"/>
        </w:rPr>
        <w:t xml:space="preserve"> Contratistas de los elementos del transbordador. Responsables del diseño y producción del </w:t>
      </w:r>
      <w:r w:rsidRPr="005C50B4" w:rsidR="005C50B4">
        <w:rPr>
          <w:i/>
          <w:iCs/>
          <w:sz w:val="18"/>
          <w:szCs w:val="18"/>
        </w:rPr>
        <w:t>hardware</w:t>
      </w:r>
      <w:r w:rsidRPr="005C50B4" w:rsidR="005C50B4">
        <w:rPr>
          <w:i/>
          <w:iCs/>
          <w:sz w:val="14"/>
          <w:szCs w:val="14"/>
        </w:rPr>
        <w:t>. (…)</w:t>
      </w:r>
    </w:p>
    <w:p w:rsidRPr="00FB781B" w:rsidR="00FB781B" w:rsidP="00FB781B" w:rsidRDefault="00FB781B" w14:paraId="1324CAA3" w14:textId="77777777">
      <w:pPr>
        <w:spacing w:after="0" w:line="240" w:lineRule="auto"/>
        <w:ind w:left="709" w:right="616"/>
        <w:jc w:val="both"/>
        <w:rPr>
          <w:i/>
          <w:iCs/>
          <w:sz w:val="18"/>
          <w:szCs w:val="18"/>
        </w:rPr>
      </w:pPr>
    </w:p>
    <w:p w:rsidRPr="008B5E31" w:rsidR="008B5E31" w:rsidP="0044533F" w:rsidRDefault="003B02F0" w14:paraId="32ECD61F" w14:textId="3C7B68C1">
      <w:pPr>
        <w:spacing w:line="276" w:lineRule="auto"/>
        <w:jc w:val="both"/>
        <w:rPr>
          <w:sz w:val="22"/>
          <w:szCs w:val="22"/>
        </w:rPr>
      </w:pPr>
      <w:r>
        <w:rPr>
          <w:sz w:val="22"/>
          <w:szCs w:val="22"/>
        </w:rPr>
        <w:t>De otra parte, es importante entender el rol de la regulación</w:t>
      </w:r>
      <w:r w:rsidR="00E90717">
        <w:rPr>
          <w:sz w:val="22"/>
          <w:szCs w:val="22"/>
        </w:rPr>
        <w:t xml:space="preserve"> </w:t>
      </w:r>
      <w:r w:rsidR="00ED7A70">
        <w:rPr>
          <w:sz w:val="22"/>
          <w:szCs w:val="22"/>
        </w:rPr>
        <w:t>para entender</w:t>
      </w:r>
      <w:r w:rsidR="00A75A3B">
        <w:rPr>
          <w:sz w:val="22"/>
          <w:szCs w:val="22"/>
        </w:rPr>
        <w:t xml:space="preserve"> el manejo de algunas señales de alerta </w:t>
      </w:r>
      <w:r w:rsidR="006C501E">
        <w:rPr>
          <w:sz w:val="22"/>
          <w:szCs w:val="22"/>
        </w:rPr>
        <w:t xml:space="preserve">y la inacción organizacional. </w:t>
      </w:r>
      <w:r w:rsidRPr="008B5E31" w:rsidR="008B5E31">
        <w:rPr>
          <w:sz w:val="22"/>
          <w:szCs w:val="22"/>
        </w:rPr>
        <w:t>El sistema de regulación de la NASA tiene su origen en la Ley Nacional de Aeronáutica y del Espacio de 1958 (Congreso de EE. UU., 1959). Esta normativa estableció un marco general de supervisión en el que participaban</w:t>
      </w:r>
      <w:r w:rsidR="00A326F9">
        <w:rPr>
          <w:sz w:val="22"/>
          <w:szCs w:val="22"/>
        </w:rPr>
        <w:t xml:space="preserve"> dos actores:</w:t>
      </w:r>
      <w:r w:rsidRPr="008B5E31" w:rsidR="008B5E31">
        <w:rPr>
          <w:sz w:val="22"/>
          <w:szCs w:val="22"/>
        </w:rPr>
        <w:t xml:space="preserve"> </w:t>
      </w:r>
      <w:r w:rsidRPr="00A326F9" w:rsidR="008B5E31">
        <w:rPr>
          <w:i/>
          <w:iCs/>
          <w:sz w:val="22"/>
          <w:szCs w:val="22"/>
        </w:rPr>
        <w:t>el Consejo Nacional de Aeronáutica y del Espacio y el Congreso de los Estados Unidos</w:t>
      </w:r>
      <w:r w:rsidRPr="008B5E31" w:rsidR="008B5E31">
        <w:rPr>
          <w:sz w:val="22"/>
          <w:szCs w:val="22"/>
        </w:rPr>
        <w:t>. Sin embargo, la responsabilidad principal del control operativo y de la supervisión directa quedó en manos de la propia NASA.</w:t>
      </w:r>
    </w:p>
    <w:p w:rsidRPr="00AB26E5" w:rsidR="00181A75" w:rsidP="0044533F" w:rsidRDefault="008B5E31" w14:paraId="25E46C0D" w14:textId="5EA1CB77">
      <w:pPr>
        <w:spacing w:line="276" w:lineRule="auto"/>
        <w:jc w:val="both"/>
        <w:rPr>
          <w:sz w:val="22"/>
          <w:szCs w:val="22"/>
        </w:rPr>
      </w:pPr>
      <w:r w:rsidRPr="008B5E31">
        <w:rPr>
          <w:sz w:val="22"/>
          <w:szCs w:val="22"/>
        </w:rPr>
        <w:t xml:space="preserve">Desde su creación, la agencia fue concebida como una institución con capacidad de autorregulación, encargada no solo de ejecutar sus programas, sino también de definir las reglas que orientan su funcionamiento. La ley le otorgó facultades para formular, emitir, </w:t>
      </w:r>
      <w:r w:rsidRPr="00AB26E5">
        <w:rPr>
          <w:sz w:val="22"/>
          <w:szCs w:val="22"/>
        </w:rPr>
        <w:t>modificar o derogar regulaciones relacionadas con sus operaciones, así como para crear comités consultivos que brindaran asesoría técnica al Administrador de la agencia en el cumplimiento de sus funciones</w:t>
      </w:r>
      <w:r w:rsidRPr="00AB26E5" w:rsidR="00326900">
        <w:rPr>
          <w:sz w:val="22"/>
          <w:szCs w:val="22"/>
        </w:rPr>
        <w:t xml:space="preserve"> (Vaughan, 1990)</w:t>
      </w:r>
      <w:r w:rsidRPr="00AB26E5">
        <w:rPr>
          <w:sz w:val="22"/>
          <w:szCs w:val="22"/>
        </w:rPr>
        <w:t>.</w:t>
      </w:r>
      <w:r w:rsidRPr="00AB26E5" w:rsidR="00AC4A47">
        <w:rPr>
          <w:sz w:val="22"/>
          <w:szCs w:val="22"/>
        </w:rPr>
        <w:t xml:space="preserve"> Esta autorregulación respondía</w:t>
      </w:r>
      <w:r w:rsidRPr="00AB26E5" w:rsidR="002938AF">
        <w:rPr>
          <w:sz w:val="22"/>
          <w:szCs w:val="22"/>
        </w:rPr>
        <w:t xml:space="preserve"> al objetivo principal de la NASA relacionado con</w:t>
      </w:r>
      <w:r w:rsidRPr="00AB26E5" w:rsidR="00577BDD">
        <w:rPr>
          <w:sz w:val="22"/>
          <w:szCs w:val="22"/>
        </w:rPr>
        <w:t xml:space="preserve"> la supremacía de </w:t>
      </w:r>
      <w:r w:rsidRPr="00AB26E5" w:rsidR="00AB26E5">
        <w:rPr>
          <w:sz w:val="22"/>
          <w:szCs w:val="22"/>
        </w:rPr>
        <w:t>EE. UU</w:t>
      </w:r>
      <w:r w:rsidRPr="00AB26E5" w:rsidR="00577BDD">
        <w:rPr>
          <w:sz w:val="22"/>
          <w:szCs w:val="22"/>
        </w:rPr>
        <w:t xml:space="preserve"> en la competencia internacional</w:t>
      </w:r>
      <w:r w:rsidRPr="00AB26E5" w:rsidR="009F3C67">
        <w:rPr>
          <w:sz w:val="22"/>
          <w:szCs w:val="22"/>
        </w:rPr>
        <w:t xml:space="preserve"> por el avance científico y </w:t>
      </w:r>
      <w:r w:rsidRPr="00AB26E5" w:rsidR="00AB26E5">
        <w:rPr>
          <w:sz w:val="22"/>
          <w:szCs w:val="22"/>
        </w:rPr>
        <w:t xml:space="preserve">la </w:t>
      </w:r>
      <w:r w:rsidRPr="00DE4500" w:rsidR="00AC4A47">
        <w:rPr>
          <w:sz w:val="22"/>
          <w:szCs w:val="22"/>
        </w:rPr>
        <w:t xml:space="preserve">supremacía militar (McDougal, 1985). Para cumplir </w:t>
      </w:r>
      <w:r w:rsidR="000E118A">
        <w:rPr>
          <w:sz w:val="22"/>
          <w:szCs w:val="22"/>
        </w:rPr>
        <w:t>con</w:t>
      </w:r>
      <w:r w:rsidRPr="00DE4500" w:rsidR="00AC4A47">
        <w:rPr>
          <w:sz w:val="22"/>
          <w:szCs w:val="22"/>
        </w:rPr>
        <w:t xml:space="preserve"> los objetivos científicos </w:t>
      </w:r>
      <w:r w:rsidR="008A335E">
        <w:rPr>
          <w:sz w:val="22"/>
          <w:szCs w:val="22"/>
        </w:rPr>
        <w:t>y</w:t>
      </w:r>
      <w:r w:rsidRPr="00DE4500" w:rsidR="00AC4A47">
        <w:rPr>
          <w:sz w:val="22"/>
          <w:szCs w:val="22"/>
        </w:rPr>
        <w:t xml:space="preserve"> los de defensa, la NASA requería un sistema regulatorio que monitoreara </w:t>
      </w:r>
      <w:r w:rsidR="007E1B0D">
        <w:rPr>
          <w:sz w:val="22"/>
          <w:szCs w:val="22"/>
        </w:rPr>
        <w:t>tanto</w:t>
      </w:r>
      <w:r w:rsidRPr="00DE4500" w:rsidR="00AC4A47">
        <w:rPr>
          <w:sz w:val="22"/>
          <w:szCs w:val="22"/>
        </w:rPr>
        <w:t xml:space="preserve"> el desarrollo técnico </w:t>
      </w:r>
      <w:r w:rsidR="007E1B0D">
        <w:rPr>
          <w:sz w:val="22"/>
          <w:szCs w:val="22"/>
        </w:rPr>
        <w:t>como</w:t>
      </w:r>
      <w:r w:rsidRPr="00DE4500" w:rsidR="00AC4A47">
        <w:rPr>
          <w:sz w:val="22"/>
          <w:szCs w:val="22"/>
        </w:rPr>
        <w:t xml:space="preserve"> </w:t>
      </w:r>
      <w:r w:rsidR="00F7596F">
        <w:rPr>
          <w:sz w:val="22"/>
          <w:szCs w:val="22"/>
        </w:rPr>
        <w:t>la</w:t>
      </w:r>
      <w:r w:rsidRPr="00DE4500" w:rsidR="00AC4A47">
        <w:rPr>
          <w:sz w:val="22"/>
          <w:szCs w:val="22"/>
        </w:rPr>
        <w:t xml:space="preserve"> gestión para la seguridad, la confiabilidad y la calidad del diseño y desempeño de los equipos</w:t>
      </w:r>
      <w:r w:rsidR="00F252A0">
        <w:rPr>
          <w:sz w:val="22"/>
          <w:szCs w:val="22"/>
        </w:rPr>
        <w:t xml:space="preserve"> al tiempo que la NASA</w:t>
      </w:r>
      <w:r w:rsidR="00D64B00">
        <w:rPr>
          <w:sz w:val="22"/>
          <w:szCs w:val="22"/>
        </w:rPr>
        <w:t xml:space="preserve"> necesitaba</w:t>
      </w:r>
      <w:r w:rsidRPr="00DE4500" w:rsidR="00AC4A47">
        <w:rPr>
          <w:sz w:val="22"/>
          <w:szCs w:val="22"/>
        </w:rPr>
        <w:t xml:space="preserve"> fomentar la innovación</w:t>
      </w:r>
      <w:r w:rsidR="00756A88">
        <w:rPr>
          <w:sz w:val="22"/>
          <w:szCs w:val="22"/>
        </w:rPr>
        <w:t xml:space="preserve"> (V</w:t>
      </w:r>
      <w:r w:rsidR="00A06211">
        <w:rPr>
          <w:sz w:val="22"/>
          <w:szCs w:val="22"/>
        </w:rPr>
        <w:t>a</w:t>
      </w:r>
      <w:r w:rsidR="00756A88">
        <w:rPr>
          <w:sz w:val="22"/>
          <w:szCs w:val="22"/>
        </w:rPr>
        <w:t>ughan</w:t>
      </w:r>
      <w:r w:rsidR="00A06211">
        <w:rPr>
          <w:sz w:val="22"/>
          <w:szCs w:val="22"/>
        </w:rPr>
        <w:t>, 1990)</w:t>
      </w:r>
      <w:r w:rsidR="00464499">
        <w:rPr>
          <w:sz w:val="22"/>
          <w:szCs w:val="22"/>
        </w:rPr>
        <w:t>.</w:t>
      </w:r>
    </w:p>
    <w:p w:rsidR="00EB6619" w:rsidP="0044533F" w:rsidRDefault="00464499" w14:paraId="36DD621F" w14:textId="177AA9C6">
      <w:pPr>
        <w:spacing w:line="276" w:lineRule="auto"/>
        <w:jc w:val="both"/>
        <w:rPr>
          <w:sz w:val="22"/>
          <w:szCs w:val="22"/>
        </w:rPr>
      </w:pPr>
      <w:r w:rsidRPr="00893846">
        <w:rPr>
          <w:sz w:val="22"/>
          <w:szCs w:val="22"/>
        </w:rPr>
        <w:t xml:space="preserve">Para fomentar la innovación, la NASA creó un sistema de comités consultivos integrados por líderes de la industria aeroespacial, institutos de investigación y universidades, quienes </w:t>
      </w:r>
      <w:r w:rsidRPr="00893846" w:rsidR="009D76D3">
        <w:rPr>
          <w:sz w:val="22"/>
          <w:szCs w:val="22"/>
        </w:rPr>
        <w:t>se encargarían d</w:t>
      </w:r>
      <w:r w:rsidRPr="00893846" w:rsidR="006F3843">
        <w:rPr>
          <w:sz w:val="22"/>
          <w:szCs w:val="22"/>
        </w:rPr>
        <w:t xml:space="preserve">e </w:t>
      </w:r>
      <w:r w:rsidRPr="00893846">
        <w:rPr>
          <w:sz w:val="22"/>
          <w:szCs w:val="22"/>
        </w:rPr>
        <w:t xml:space="preserve">política y </w:t>
      </w:r>
      <w:r w:rsidRPr="00893846" w:rsidR="006F3843">
        <w:rPr>
          <w:sz w:val="22"/>
          <w:szCs w:val="22"/>
        </w:rPr>
        <w:t>de</w:t>
      </w:r>
      <w:r w:rsidRPr="00893846">
        <w:rPr>
          <w:sz w:val="22"/>
          <w:szCs w:val="22"/>
        </w:rPr>
        <w:t xml:space="preserve"> los desarrollos tecnológicos. Para asegurar la seguridad, la NASA creó dos unidades regulatorias</w:t>
      </w:r>
      <w:r w:rsidRPr="00893846" w:rsidR="00C56E0D">
        <w:rPr>
          <w:sz w:val="22"/>
          <w:szCs w:val="22"/>
        </w:rPr>
        <w:t xml:space="preserve"> </w:t>
      </w:r>
      <w:r w:rsidRPr="00893846">
        <w:rPr>
          <w:sz w:val="22"/>
          <w:szCs w:val="22"/>
        </w:rPr>
        <w:t>intraorganizacionales integradas por personal de la NASA</w:t>
      </w:r>
      <w:r w:rsidR="0044533F">
        <w:rPr>
          <w:sz w:val="22"/>
          <w:szCs w:val="22"/>
        </w:rPr>
        <w:t xml:space="preserve"> que fueron</w:t>
      </w:r>
      <w:r w:rsidRPr="00893846">
        <w:rPr>
          <w:sz w:val="22"/>
          <w:szCs w:val="22"/>
        </w:rPr>
        <w:t>:</w:t>
      </w:r>
      <w:r w:rsidR="0044533F">
        <w:rPr>
          <w:sz w:val="22"/>
          <w:szCs w:val="22"/>
        </w:rPr>
        <w:t xml:space="preserve"> en primer lugar,</w:t>
      </w:r>
      <w:r w:rsidRPr="00893846">
        <w:rPr>
          <w:sz w:val="22"/>
          <w:szCs w:val="22"/>
        </w:rPr>
        <w:t xml:space="preserve"> el </w:t>
      </w:r>
      <w:r w:rsidRPr="0044533F">
        <w:rPr>
          <w:i/>
          <w:iCs/>
          <w:sz w:val="22"/>
          <w:szCs w:val="22"/>
        </w:rPr>
        <w:t xml:space="preserve">Programa de Seguridad, Confiabilidad y Aseguramiento de la Calidad </w:t>
      </w:r>
      <w:r w:rsidRPr="0044533F">
        <w:rPr>
          <w:sz w:val="22"/>
          <w:szCs w:val="22"/>
        </w:rPr>
        <w:t>y el</w:t>
      </w:r>
      <w:r w:rsidRPr="0044533F">
        <w:rPr>
          <w:i/>
          <w:iCs/>
          <w:sz w:val="22"/>
          <w:szCs w:val="22"/>
        </w:rPr>
        <w:t xml:space="preserve"> Panel de Seguridad de la Tripulación del Transbordador Espacial</w:t>
      </w:r>
      <w:r w:rsidR="001D78A2">
        <w:rPr>
          <w:i/>
          <w:iCs/>
          <w:sz w:val="22"/>
          <w:szCs w:val="22"/>
        </w:rPr>
        <w:t xml:space="preserve">, </w:t>
      </w:r>
      <w:r w:rsidR="001D78A2">
        <w:rPr>
          <w:sz w:val="22"/>
          <w:szCs w:val="22"/>
        </w:rPr>
        <w:t>estas dos unidades</w:t>
      </w:r>
      <w:r w:rsidRPr="001D78A2" w:rsidR="001D78A2">
        <w:rPr>
          <w:sz w:val="22"/>
          <w:szCs w:val="22"/>
        </w:rPr>
        <w:t xml:space="preserve"> por su parte se encargarían</w:t>
      </w:r>
      <w:r w:rsidR="001D78A2">
        <w:rPr>
          <w:sz w:val="22"/>
          <w:szCs w:val="22"/>
        </w:rPr>
        <w:t xml:space="preserve"> </w:t>
      </w:r>
      <w:r w:rsidRPr="001D78A2">
        <w:rPr>
          <w:sz w:val="22"/>
          <w:szCs w:val="22"/>
        </w:rPr>
        <w:t>era asegurar la seguridad mediante un escrutinio intensivo de los aspectos técnicos de ambos, el diseño técnico y la gestión del programa</w:t>
      </w:r>
      <w:r w:rsidRPr="001D78A2" w:rsidR="00893846">
        <w:rPr>
          <w:sz w:val="22"/>
          <w:szCs w:val="22"/>
        </w:rPr>
        <w:t xml:space="preserve"> (Vaughan, 1990).</w:t>
      </w:r>
      <w:r w:rsidR="00DB1EB5">
        <w:rPr>
          <w:sz w:val="22"/>
          <w:szCs w:val="22"/>
        </w:rPr>
        <w:t xml:space="preserve"> </w:t>
      </w:r>
      <w:r w:rsidR="00EB6619">
        <w:rPr>
          <w:sz w:val="22"/>
          <w:szCs w:val="22"/>
        </w:rPr>
        <w:t>En temas de estructura organizacional</w:t>
      </w:r>
      <w:r w:rsidR="00537C8F">
        <w:rPr>
          <w:sz w:val="22"/>
          <w:szCs w:val="22"/>
        </w:rPr>
        <w:t xml:space="preserve"> a continuación se describe el alcance de cada una de las unidades mencionadas anteriormente: </w:t>
      </w:r>
    </w:p>
    <w:p w:rsidRPr="00DB1EB5" w:rsidR="00537C8F" w:rsidP="0044533F" w:rsidRDefault="00537C8F" w14:paraId="460CB6B3" w14:textId="6F24D8FE">
      <w:pPr>
        <w:spacing w:line="276" w:lineRule="auto"/>
        <w:jc w:val="both"/>
        <w:rPr>
          <w:sz w:val="22"/>
          <w:szCs w:val="22"/>
        </w:rPr>
      </w:pPr>
      <w:r w:rsidRPr="00DB1EB5">
        <w:rPr>
          <w:i/>
          <w:iCs/>
          <w:sz w:val="22"/>
          <w:szCs w:val="22"/>
        </w:rPr>
        <w:lastRenderedPageBreak/>
        <w:t>Comités consultivos:</w:t>
      </w:r>
      <w:r w:rsidRPr="00DB1EB5" w:rsidR="00DB1EB5">
        <w:rPr>
          <w:i/>
          <w:iCs/>
          <w:sz w:val="22"/>
          <w:szCs w:val="22"/>
        </w:rPr>
        <w:t xml:space="preserve"> </w:t>
      </w:r>
      <w:r w:rsidRPr="00DB1EB5" w:rsidR="00DB1EB5">
        <w:rPr>
          <w:sz w:val="22"/>
          <w:szCs w:val="22"/>
        </w:rPr>
        <w:t>Desarrollaban actividades con fines de consulta y asesoría al Administrador en el desempeño de sus funciones</w:t>
      </w:r>
      <w:r w:rsidR="00DB1EB5">
        <w:rPr>
          <w:sz w:val="22"/>
          <w:szCs w:val="22"/>
        </w:rPr>
        <w:t>.</w:t>
      </w:r>
    </w:p>
    <w:p w:rsidRPr="000E2AA7" w:rsidR="00537C8F" w:rsidP="000E2AA7" w:rsidRDefault="00BA04A5" w14:paraId="05BCAE05" w14:textId="06F7A20E">
      <w:pPr>
        <w:jc w:val="both"/>
      </w:pPr>
      <w:r w:rsidRPr="00592E5C">
        <w:rPr>
          <w:i/>
          <w:iCs/>
          <w:sz w:val="22"/>
          <w:szCs w:val="22"/>
        </w:rPr>
        <w:t xml:space="preserve">Programa de Seguridad, Confiabilidad y Aseguramiento de la </w:t>
      </w:r>
      <w:r w:rsidRPr="000E2AA7">
        <w:rPr>
          <w:i/>
          <w:iCs/>
          <w:sz w:val="22"/>
          <w:szCs w:val="22"/>
        </w:rPr>
        <w:t>Calidad</w:t>
      </w:r>
      <w:r w:rsidRPr="000E2AA7" w:rsidR="00923E4C">
        <w:rPr>
          <w:i/>
          <w:iCs/>
          <w:sz w:val="22"/>
          <w:szCs w:val="22"/>
        </w:rPr>
        <w:t xml:space="preserve"> </w:t>
      </w:r>
      <w:r w:rsidRPr="00C26FAD" w:rsidR="00923E4C">
        <w:rPr>
          <w:i/>
          <w:iCs/>
          <w:sz w:val="22"/>
          <w:szCs w:val="22"/>
        </w:rPr>
        <w:t>(SR&amp;QA)</w:t>
      </w:r>
      <w:r w:rsidRPr="00C26FAD">
        <w:rPr>
          <w:i/>
          <w:iCs/>
          <w:sz w:val="20"/>
          <w:szCs w:val="20"/>
        </w:rPr>
        <w:t>:</w:t>
      </w:r>
      <w:r w:rsidRPr="00C26FAD" w:rsidR="00264FD8">
        <w:rPr>
          <w:i/>
          <w:iCs/>
          <w:sz w:val="20"/>
          <w:szCs w:val="20"/>
        </w:rPr>
        <w:t xml:space="preserve"> </w:t>
      </w:r>
      <w:r w:rsidR="001177CA">
        <w:rPr>
          <w:sz w:val="22"/>
          <w:szCs w:val="22"/>
        </w:rPr>
        <w:t>E</w:t>
      </w:r>
      <w:r w:rsidRPr="00264FD8" w:rsidR="00264FD8">
        <w:rPr>
          <w:sz w:val="22"/>
          <w:szCs w:val="22"/>
        </w:rPr>
        <w:t>sta unidad tenía la mayor responsabilidad frente a las condiciones de seguridad del programa</w:t>
      </w:r>
      <w:r w:rsidR="00873291">
        <w:rPr>
          <w:sz w:val="22"/>
          <w:szCs w:val="22"/>
        </w:rPr>
        <w:t xml:space="preserve">, </w:t>
      </w:r>
      <w:r w:rsidR="00973190">
        <w:rPr>
          <w:sz w:val="22"/>
          <w:szCs w:val="22"/>
        </w:rPr>
        <w:t xml:space="preserve">tenía un ingeniero jefe y </w:t>
      </w:r>
      <w:r w:rsidRPr="00973190" w:rsidR="00973190">
        <w:rPr>
          <w:sz w:val="22"/>
          <w:szCs w:val="22"/>
        </w:rPr>
        <w:t>subunidades en los centros espaciales Johnson, Kennedy y Marshall</w:t>
      </w:r>
      <w:r w:rsidR="00973190">
        <w:rPr>
          <w:sz w:val="22"/>
          <w:szCs w:val="22"/>
        </w:rPr>
        <w:t>.</w:t>
      </w:r>
      <w:r w:rsidR="001E0BBF">
        <w:rPr>
          <w:sz w:val="22"/>
          <w:szCs w:val="22"/>
        </w:rPr>
        <w:t xml:space="preserve"> El tema de </w:t>
      </w:r>
      <w:r w:rsidRPr="001E0BBF" w:rsidR="001E0BBF">
        <w:rPr>
          <w:i/>
          <w:iCs/>
          <w:sz w:val="22"/>
          <w:szCs w:val="22"/>
        </w:rPr>
        <w:t xml:space="preserve">seguridad </w:t>
      </w:r>
      <w:r w:rsidR="001E0BBF">
        <w:rPr>
          <w:sz w:val="22"/>
          <w:szCs w:val="22"/>
        </w:rPr>
        <w:t>se relacionaba con la prevención de</w:t>
      </w:r>
      <w:r w:rsidRPr="001E0BBF" w:rsidR="001E0BBF">
        <w:rPr>
          <w:sz w:val="22"/>
          <w:szCs w:val="22"/>
        </w:rPr>
        <w:t xml:space="preserve"> accidentes y detec</w:t>
      </w:r>
      <w:r w:rsidR="001E0BBF">
        <w:rPr>
          <w:sz w:val="22"/>
          <w:szCs w:val="22"/>
        </w:rPr>
        <w:t>ción de</w:t>
      </w:r>
      <w:r w:rsidRPr="001E0BBF" w:rsidR="001E0BBF">
        <w:rPr>
          <w:sz w:val="22"/>
          <w:szCs w:val="22"/>
        </w:rPr>
        <w:t xml:space="preserve"> riesgos en los sistemas de vuelo y en las operaciones, evaluando posibles peligros antes, durante y después de las misiones.</w:t>
      </w:r>
      <w:r w:rsidR="001E0BBF">
        <w:rPr>
          <w:sz w:val="22"/>
          <w:szCs w:val="22"/>
        </w:rPr>
        <w:t xml:space="preserve"> Para la </w:t>
      </w:r>
      <w:r w:rsidRPr="001E0BBF" w:rsidR="001E0BBF">
        <w:rPr>
          <w:i/>
          <w:iCs/>
          <w:sz w:val="22"/>
          <w:szCs w:val="22"/>
        </w:rPr>
        <w:t>confiabilidad</w:t>
      </w:r>
      <w:r w:rsidR="001E0BBF">
        <w:rPr>
          <w:sz w:val="22"/>
          <w:szCs w:val="22"/>
        </w:rPr>
        <w:t xml:space="preserve"> </w:t>
      </w:r>
      <w:r w:rsidRPr="000A255A" w:rsidR="001E0BBF">
        <w:rPr>
          <w:sz w:val="22"/>
          <w:szCs w:val="22"/>
        </w:rPr>
        <w:t>se debían verificar los componentes y el funcionamiento de los sistemas entregados por los contratistas y el aseguramiento de la calidad</w:t>
      </w:r>
      <w:r w:rsidRPr="000A255A" w:rsidR="00881D35">
        <w:rPr>
          <w:sz w:val="22"/>
          <w:szCs w:val="22"/>
        </w:rPr>
        <w:t xml:space="preserve"> se dedicaba a controlar procesos, velar por el cumplimiento de los procedimientos, hacer auditorías a los contratistas, identificar </w:t>
      </w:r>
      <w:r w:rsidRPr="000A255A" w:rsidR="00AB1D8A">
        <w:rPr>
          <w:sz w:val="22"/>
          <w:szCs w:val="22"/>
        </w:rPr>
        <w:t xml:space="preserve">y reportar </w:t>
      </w:r>
      <w:r w:rsidRPr="000A255A" w:rsidR="00881D35">
        <w:rPr>
          <w:sz w:val="22"/>
          <w:szCs w:val="22"/>
        </w:rPr>
        <w:t>fallas</w:t>
      </w:r>
      <w:r w:rsidRPr="000A255A" w:rsidR="00AB1D8A">
        <w:rPr>
          <w:sz w:val="22"/>
          <w:szCs w:val="22"/>
        </w:rPr>
        <w:t xml:space="preserve"> y problemas y</w:t>
      </w:r>
      <w:r w:rsidRPr="000A255A" w:rsidR="00881D35">
        <w:rPr>
          <w:sz w:val="22"/>
          <w:szCs w:val="22"/>
        </w:rPr>
        <w:t xml:space="preserve"> realizar inspecciones</w:t>
      </w:r>
      <w:r w:rsidRPr="000A255A" w:rsidR="00AB1D8A">
        <w:rPr>
          <w:sz w:val="22"/>
          <w:szCs w:val="22"/>
        </w:rPr>
        <w:t>.</w:t>
      </w:r>
    </w:p>
    <w:p w:rsidRPr="00095F85" w:rsidR="00F979B6" w:rsidP="0044533F" w:rsidRDefault="00BA04A5" w14:paraId="40EF5434" w14:textId="1114F524">
      <w:pPr>
        <w:spacing w:line="276" w:lineRule="auto"/>
        <w:jc w:val="both"/>
        <w:rPr>
          <w:color w:val="EE0000"/>
          <w:sz w:val="22"/>
          <w:szCs w:val="22"/>
        </w:rPr>
      </w:pPr>
      <w:r w:rsidRPr="00FE4B04">
        <w:rPr>
          <w:i/>
          <w:iCs/>
          <w:sz w:val="22"/>
          <w:szCs w:val="22"/>
        </w:rPr>
        <w:t xml:space="preserve">Panel de Seguridad de la Tripulación del Transbordador </w:t>
      </w:r>
      <w:r w:rsidRPr="000E2AA7">
        <w:rPr>
          <w:i/>
          <w:iCs/>
          <w:sz w:val="22"/>
          <w:szCs w:val="22"/>
        </w:rPr>
        <w:t>Espacial</w:t>
      </w:r>
      <w:r w:rsidRPr="000E2AA7" w:rsidR="0063676E">
        <w:rPr>
          <w:i/>
          <w:iCs/>
          <w:sz w:val="22"/>
          <w:szCs w:val="22"/>
        </w:rPr>
        <w:t xml:space="preserve"> (SSCSCP)</w:t>
      </w:r>
      <w:r w:rsidR="000E2AA7">
        <w:rPr>
          <w:i/>
          <w:iCs/>
          <w:sz w:val="22"/>
          <w:szCs w:val="22"/>
        </w:rPr>
        <w:t>:</w:t>
      </w:r>
      <w:r w:rsidRPr="00FE4B04" w:rsidR="00887822">
        <w:rPr>
          <w:i/>
          <w:iCs/>
          <w:sz w:val="22"/>
          <w:szCs w:val="22"/>
        </w:rPr>
        <w:t xml:space="preserve"> </w:t>
      </w:r>
      <w:r w:rsidRPr="00FE4B04" w:rsidR="00887822">
        <w:rPr>
          <w:sz w:val="22"/>
          <w:szCs w:val="22"/>
        </w:rPr>
        <w:t>Era una segunda unidad interna de la NASA</w:t>
      </w:r>
      <w:r w:rsidRPr="00FE4B04" w:rsidR="00994CFA">
        <w:rPr>
          <w:sz w:val="22"/>
          <w:szCs w:val="22"/>
        </w:rPr>
        <w:t xml:space="preserve"> que se encargaba desde 1974 de la seguridad de tripulación</w:t>
      </w:r>
      <w:r w:rsidRPr="00FE4B04" w:rsidR="006D0C62">
        <w:rPr>
          <w:sz w:val="22"/>
          <w:szCs w:val="22"/>
        </w:rPr>
        <w:t xml:space="preserve"> además del cumplimiento de sus obligaciones al ser parte de la NASA y de la Fuerza Aérea.</w:t>
      </w:r>
      <w:r w:rsidRPr="00FE4B04" w:rsidR="0063676E">
        <w:rPr>
          <w:sz w:val="22"/>
          <w:szCs w:val="22"/>
        </w:rPr>
        <w:t xml:space="preserve"> Este panel desarrollaba reuniones donde el objetivo era identificar áreas potenciales de problemas, desarrollar soluciones y revisar cronogramas (Hammack, 1986)</w:t>
      </w:r>
      <w:r w:rsidRPr="00FE4B04" w:rsidR="000B6730">
        <w:rPr>
          <w:sz w:val="22"/>
          <w:szCs w:val="22"/>
        </w:rPr>
        <w:t>, podía pasar que</w:t>
      </w:r>
      <w:r w:rsidRPr="00FE4B04" w:rsidR="00FE4B04">
        <w:rPr>
          <w:sz w:val="22"/>
          <w:szCs w:val="22"/>
        </w:rPr>
        <w:t xml:space="preserve"> se asignaran</w:t>
      </w:r>
      <w:r w:rsidRPr="00FE4B04" w:rsidR="0063676E">
        <w:rPr>
          <w:sz w:val="22"/>
          <w:szCs w:val="22"/>
        </w:rPr>
        <w:t xml:space="preserve"> problemas individuales a los miembros para investigación detallada, negociación y resolución. E</w:t>
      </w:r>
      <w:r w:rsidRPr="00FE4B04" w:rsidR="00FE4B04">
        <w:rPr>
          <w:sz w:val="22"/>
          <w:szCs w:val="22"/>
        </w:rPr>
        <w:t xml:space="preserve">sta unidad </w:t>
      </w:r>
      <w:r w:rsidRPr="00FE4B04" w:rsidR="0063676E">
        <w:rPr>
          <w:sz w:val="22"/>
          <w:szCs w:val="22"/>
        </w:rPr>
        <w:t xml:space="preserve">se apoyaba en sus propios grupos de trabajo cuando era práctico, pero establecía </w:t>
      </w:r>
      <w:proofErr w:type="spellStart"/>
      <w:r w:rsidRPr="00FE4B04" w:rsidR="0063676E">
        <w:rPr>
          <w:sz w:val="22"/>
          <w:szCs w:val="22"/>
        </w:rPr>
        <w:t>subpaneles</w:t>
      </w:r>
      <w:proofErr w:type="spellEnd"/>
      <w:r w:rsidRPr="00FE4B04" w:rsidR="0063676E">
        <w:rPr>
          <w:sz w:val="22"/>
          <w:szCs w:val="22"/>
        </w:rPr>
        <w:t xml:space="preserve"> o empleaba gerentes de subsistemas y especialistas técnicos </w:t>
      </w:r>
      <w:r w:rsidR="00963CAF">
        <w:rPr>
          <w:sz w:val="22"/>
          <w:szCs w:val="22"/>
        </w:rPr>
        <w:t xml:space="preserve">de la NASA </w:t>
      </w:r>
      <w:r w:rsidRPr="00FE4B04" w:rsidR="0063676E">
        <w:rPr>
          <w:sz w:val="22"/>
          <w:szCs w:val="22"/>
        </w:rPr>
        <w:t>para complementar la experiencia del panel cuando era necesario</w:t>
      </w:r>
      <w:r w:rsidR="00963CAF">
        <w:rPr>
          <w:sz w:val="22"/>
          <w:szCs w:val="22"/>
        </w:rPr>
        <w:t xml:space="preserve"> (Vaughan, 1990).</w:t>
      </w:r>
    </w:p>
    <w:p w:rsidR="00BD4CA4" w:rsidP="004150F0" w:rsidRDefault="00F77FBA" w14:paraId="4263C723" w14:textId="67ECD061">
      <w:pPr>
        <w:spacing w:line="276" w:lineRule="auto"/>
        <w:jc w:val="both"/>
        <w:rPr>
          <w:sz w:val="22"/>
          <w:szCs w:val="22"/>
        </w:rPr>
      </w:pPr>
      <w:r w:rsidRPr="00724057">
        <w:rPr>
          <w:i/>
          <w:iCs/>
          <w:sz w:val="22"/>
          <w:szCs w:val="22"/>
        </w:rPr>
        <w:t>Panel Asesor de Seguridad Aeroespacial (ASAP)</w:t>
      </w:r>
      <w:r w:rsidR="000E2AA7">
        <w:rPr>
          <w:i/>
          <w:iCs/>
          <w:sz w:val="22"/>
          <w:szCs w:val="22"/>
        </w:rPr>
        <w:t>:</w:t>
      </w:r>
      <w:r w:rsidRPr="00724057" w:rsidR="00ED0893">
        <w:rPr>
          <w:i/>
          <w:iCs/>
          <w:sz w:val="22"/>
          <w:szCs w:val="22"/>
        </w:rPr>
        <w:t xml:space="preserve"> Comité </w:t>
      </w:r>
      <w:r w:rsidRPr="00724057" w:rsidR="00ED0893">
        <w:rPr>
          <w:sz w:val="22"/>
          <w:szCs w:val="22"/>
        </w:rPr>
        <w:t>consultivo responsable de forma exclusiva de la vigilancia de la seguridad</w:t>
      </w:r>
      <w:r w:rsidRPr="00724057" w:rsidR="004F114A">
        <w:rPr>
          <w:sz w:val="22"/>
          <w:szCs w:val="22"/>
        </w:rPr>
        <w:t>, se creó como un intento explícito del Congreso de equilibrar el sistema interno de seguridad de la NASA con un organismo regulador externo independiente compuesto por expertos aeroespaciales</w:t>
      </w:r>
      <w:r w:rsidRPr="00724057" w:rsidR="001D6EE3">
        <w:rPr>
          <w:sz w:val="22"/>
          <w:szCs w:val="22"/>
        </w:rPr>
        <w:t>. La acción legislativa estuvo guiada por la noción de que la combinación de organismos regulatorios internos y externos proporcionaría la vigilancia esencial para prevenir futuros accidentes</w:t>
      </w:r>
      <w:r w:rsidRPr="00724057" w:rsidR="00801CE4">
        <w:rPr>
          <w:sz w:val="22"/>
          <w:szCs w:val="22"/>
        </w:rPr>
        <w:t xml:space="preserve"> (Vaughan, 1990).</w:t>
      </w:r>
      <w:r w:rsidRPr="00724057" w:rsidR="00863773">
        <w:rPr>
          <w:sz w:val="22"/>
          <w:szCs w:val="22"/>
        </w:rPr>
        <w:t xml:space="preserve"> Era un organismo regulador externo </w:t>
      </w:r>
      <w:r w:rsidRPr="00724057" w:rsidR="001A14A3">
        <w:rPr>
          <w:sz w:val="22"/>
          <w:szCs w:val="22"/>
        </w:rPr>
        <w:t>compuesto por nueve (9) personas (cuatro de la NASA y 5 externos líderes de la industria aeroespacial)</w:t>
      </w:r>
      <w:r w:rsidRPr="00724057" w:rsidR="00354CA4">
        <w:rPr>
          <w:color w:val="EE0000"/>
          <w:sz w:val="22"/>
          <w:szCs w:val="22"/>
        </w:rPr>
        <w:t xml:space="preserve"> </w:t>
      </w:r>
      <w:r w:rsidRPr="00724057" w:rsidR="001A14A3">
        <w:rPr>
          <w:sz w:val="22"/>
          <w:szCs w:val="22"/>
        </w:rPr>
        <w:t xml:space="preserve">que </w:t>
      </w:r>
      <w:r w:rsidRPr="00724057" w:rsidR="00354CA4">
        <w:rPr>
          <w:sz w:val="22"/>
          <w:szCs w:val="22"/>
        </w:rPr>
        <w:t xml:space="preserve">durante tres (3) años </w:t>
      </w:r>
      <w:r w:rsidRPr="00724057" w:rsidR="001A14A3">
        <w:rPr>
          <w:sz w:val="22"/>
          <w:szCs w:val="22"/>
        </w:rPr>
        <w:t>debía</w:t>
      </w:r>
      <w:r w:rsidRPr="00724057" w:rsidR="00354CA4">
        <w:rPr>
          <w:sz w:val="22"/>
          <w:szCs w:val="22"/>
        </w:rPr>
        <w:t>n</w:t>
      </w:r>
      <w:r w:rsidRPr="00724057" w:rsidR="001A14A3">
        <w:rPr>
          <w:sz w:val="22"/>
          <w:szCs w:val="22"/>
        </w:rPr>
        <w:t xml:space="preserve"> ejercer</w:t>
      </w:r>
      <w:r w:rsidRPr="00724057" w:rsidR="00863773">
        <w:rPr>
          <w:sz w:val="22"/>
          <w:szCs w:val="22"/>
        </w:rPr>
        <w:t xml:space="preserve"> una vigilancia independiente de los riesgos de seguridad</w:t>
      </w:r>
      <w:r w:rsidRPr="00724057" w:rsidR="00354CA4">
        <w:rPr>
          <w:sz w:val="22"/>
          <w:szCs w:val="22"/>
        </w:rPr>
        <w:t>.</w:t>
      </w:r>
    </w:p>
    <w:p w:rsidR="002E621D" w:rsidP="00C77659" w:rsidRDefault="00BB3DC2" w14:paraId="055EA412" w14:textId="15C032CC">
      <w:pPr>
        <w:jc w:val="both"/>
        <w:rPr>
          <w:sz w:val="22"/>
          <w:szCs w:val="22"/>
        </w:rPr>
      </w:pPr>
      <w:r w:rsidRPr="00C77659">
        <w:rPr>
          <w:sz w:val="20"/>
          <w:szCs w:val="20"/>
        </w:rPr>
        <w:t>Con relación a</w:t>
      </w:r>
      <w:r w:rsidRPr="00C77659" w:rsidR="007F2F96">
        <w:rPr>
          <w:sz w:val="20"/>
          <w:szCs w:val="20"/>
        </w:rPr>
        <w:t xml:space="preserve"> las formas de comunicación, la investigación de Diana Vaughan (1990) evidenció que </w:t>
      </w:r>
      <w:r w:rsidRPr="00C77659" w:rsidR="00C77659">
        <w:rPr>
          <w:sz w:val="22"/>
          <w:szCs w:val="22"/>
        </w:rPr>
        <w:t>l</w:t>
      </w:r>
      <w:r w:rsidRPr="00C77659" w:rsidR="007F2F96">
        <w:rPr>
          <w:sz w:val="22"/>
          <w:szCs w:val="22"/>
        </w:rPr>
        <w:t>os miembros del panel ASAP intentaban negociar los asuntos de seguridad al nivel más bajo posible y luego ascendían, según fuera necesario: el vicepresidente del contratista o el ingeniero jefe, luego el gerente del programa de la NASA, el administrador asociado o el administrador.</w:t>
      </w:r>
      <w:r w:rsidRPr="00C77659" w:rsidR="00C77659">
        <w:rPr>
          <w:sz w:val="22"/>
          <w:szCs w:val="22"/>
        </w:rPr>
        <w:t xml:space="preserve"> Ellos </w:t>
      </w:r>
      <w:r w:rsidR="00367B4B">
        <w:rPr>
          <w:sz w:val="22"/>
          <w:szCs w:val="22"/>
        </w:rPr>
        <w:t>retroalimentaban</w:t>
      </w:r>
      <w:r w:rsidRPr="00C77659" w:rsidR="007F2F96">
        <w:rPr>
          <w:sz w:val="22"/>
          <w:szCs w:val="22"/>
        </w:rPr>
        <w:t xml:space="preserve"> a las personas con quienes tenían contacto. El panel enviaba declaraciones formales de hallazgos y recomendaciones a los centros y contratistas, quienes respondían por escrito a cada recomendación. Estas declaraciones eran remitidas a la sede de la NASA. El ASAP comunicaba anualmente sus hallazgos y recomendaciones al Congreso y al administrador de la NASA de forma oral y en un informe anual</w:t>
      </w:r>
      <w:r w:rsidR="00C26FAD">
        <w:rPr>
          <w:sz w:val="22"/>
          <w:szCs w:val="22"/>
        </w:rPr>
        <w:t>.</w:t>
      </w:r>
    </w:p>
    <w:p w:rsidR="00AC3B96" w:rsidP="00196A40" w:rsidRDefault="00C26FAD" w14:paraId="062EDD1B" w14:textId="71D17194">
      <w:pPr>
        <w:jc w:val="both"/>
        <w:rPr>
          <w:sz w:val="22"/>
          <w:szCs w:val="22"/>
        </w:rPr>
      </w:pPr>
      <w:r>
        <w:rPr>
          <w:sz w:val="22"/>
          <w:szCs w:val="22"/>
        </w:rPr>
        <w:lastRenderedPageBreak/>
        <w:t xml:space="preserve">Para el Comité de </w:t>
      </w:r>
      <w:r w:rsidRPr="00C26FAD">
        <w:rPr>
          <w:sz w:val="22"/>
          <w:szCs w:val="22"/>
        </w:rPr>
        <w:t>Seguridad, Confiabilidad y Aseguramiento de la Calidad (SR&amp;QA</w:t>
      </w:r>
      <w:r>
        <w:rPr>
          <w:sz w:val="22"/>
          <w:szCs w:val="22"/>
        </w:rPr>
        <w:t xml:space="preserve">), los niveles de </w:t>
      </w:r>
      <w:r w:rsidR="009375B7">
        <w:rPr>
          <w:sz w:val="22"/>
          <w:szCs w:val="22"/>
        </w:rPr>
        <w:t>operación tuvieron eventos</w:t>
      </w:r>
      <w:r>
        <w:rPr>
          <w:sz w:val="22"/>
          <w:szCs w:val="22"/>
        </w:rPr>
        <w:t xml:space="preserve"> más complejos, dado que </w:t>
      </w:r>
      <w:r w:rsidR="009375B7">
        <w:rPr>
          <w:sz w:val="22"/>
          <w:szCs w:val="22"/>
        </w:rPr>
        <w:t xml:space="preserve">se identificaron </w:t>
      </w:r>
      <w:r w:rsidR="00754A21">
        <w:rPr>
          <w:sz w:val="22"/>
          <w:szCs w:val="22"/>
        </w:rPr>
        <w:t xml:space="preserve">tres fallas: en primer lugar, </w:t>
      </w:r>
      <w:r w:rsidRPr="00935ACA" w:rsidR="00935ACA">
        <w:rPr>
          <w:i/>
          <w:iCs/>
          <w:sz w:val="22"/>
          <w:szCs w:val="22"/>
        </w:rPr>
        <w:t>ítems críticos para la seguridad</w:t>
      </w:r>
      <w:r w:rsidR="00935ACA">
        <w:rPr>
          <w:sz w:val="22"/>
          <w:szCs w:val="22"/>
        </w:rPr>
        <w:t xml:space="preserve">, </w:t>
      </w:r>
      <w:r w:rsidR="00DD5CAA">
        <w:rPr>
          <w:sz w:val="22"/>
          <w:szCs w:val="22"/>
        </w:rPr>
        <w:t xml:space="preserve">donde SR&amp;QA debía </w:t>
      </w:r>
      <w:r w:rsidR="00ED4F2F">
        <w:rPr>
          <w:sz w:val="22"/>
          <w:szCs w:val="22"/>
        </w:rPr>
        <w:t xml:space="preserve">asignar las categorías de criticidad </w:t>
      </w:r>
      <w:r w:rsidR="00612A35">
        <w:rPr>
          <w:sz w:val="22"/>
          <w:szCs w:val="22"/>
        </w:rPr>
        <w:t>a los componentes del transbordados de acuerdo con las consecuencias de la falla</w:t>
      </w:r>
      <w:r w:rsidR="00F40551">
        <w:rPr>
          <w:sz w:val="22"/>
          <w:szCs w:val="22"/>
        </w:rPr>
        <w:t xml:space="preserve">. </w:t>
      </w:r>
      <w:r w:rsidRPr="00196A40" w:rsidR="00196A40">
        <w:rPr>
          <w:sz w:val="22"/>
          <w:szCs w:val="22"/>
        </w:rPr>
        <w:t>La unión del propulsor de cohete sólido (SRB) fue clasificada inicialmente como C 1-R, lo que indicaba que el sistema contaba con redundancia, es decir, un mecanismo de respaldo que podía evitar una falla. Sin embargo, en 1982 esta clasificación fue modificada a C 1, una categoría más crítica que señalaba la ausencia de redundancia</w:t>
      </w:r>
      <w:r w:rsidR="00E1782F">
        <w:rPr>
          <w:sz w:val="22"/>
          <w:szCs w:val="22"/>
        </w:rPr>
        <w:t xml:space="preserve"> e implicaba pérdida </w:t>
      </w:r>
      <w:r w:rsidR="001B7E4C">
        <w:rPr>
          <w:sz w:val="22"/>
          <w:szCs w:val="22"/>
        </w:rPr>
        <w:t>de vida o pérdida del vehículo</w:t>
      </w:r>
      <w:r w:rsidRPr="00196A40" w:rsidR="00196A40">
        <w:rPr>
          <w:sz w:val="22"/>
          <w:szCs w:val="22"/>
        </w:rPr>
        <w:t xml:space="preserve"> (Centro de Vuelo Espacial Marshall, 1982: A-6A, 6B).</w:t>
      </w:r>
      <w:r w:rsidR="00F14B3E">
        <w:rPr>
          <w:sz w:val="22"/>
          <w:szCs w:val="22"/>
        </w:rPr>
        <w:t xml:space="preserve"> </w:t>
      </w:r>
      <w:r w:rsidRPr="00196A40" w:rsidR="00196A40">
        <w:rPr>
          <w:sz w:val="22"/>
          <w:szCs w:val="22"/>
        </w:rPr>
        <w:t>Tras el accidente, se encontraron documentos internos de la NASA en los que la unión seguía apareciendo como C 1-R incluso después del cambio de clasificación. Esta inconsistencia llevó a que algunos directivos interpretaran, de manera equivocada, que el sistema aún contaba con respaldo. Además, el área de Seguridad, Confiabilidad y Aseguramiento de la Calidad (SR&amp;QA) no detectó ni corrigió esta confusión (Comisión Presidencial, 1986, 1: 155–159).</w:t>
      </w:r>
    </w:p>
    <w:p w:rsidR="00F14B3E" w:rsidP="00196A40" w:rsidRDefault="00F14B3E" w14:paraId="7B105EA6" w14:textId="57FBEE70">
      <w:pPr>
        <w:jc w:val="both"/>
        <w:rPr>
          <w:sz w:val="22"/>
          <w:szCs w:val="22"/>
        </w:rPr>
      </w:pPr>
      <w:r>
        <w:rPr>
          <w:sz w:val="22"/>
          <w:szCs w:val="22"/>
        </w:rPr>
        <w:t xml:space="preserve">En segundo lugar, están los </w:t>
      </w:r>
      <w:r w:rsidRPr="00F14B3E">
        <w:rPr>
          <w:i/>
          <w:iCs/>
          <w:sz w:val="22"/>
          <w:szCs w:val="22"/>
        </w:rPr>
        <w:t>datos de tendencia</w:t>
      </w:r>
      <w:r>
        <w:rPr>
          <w:sz w:val="22"/>
          <w:szCs w:val="22"/>
        </w:rPr>
        <w:t xml:space="preserve">, </w:t>
      </w:r>
      <w:r w:rsidR="00FB1661">
        <w:rPr>
          <w:sz w:val="22"/>
          <w:szCs w:val="22"/>
        </w:rPr>
        <w:t>c</w:t>
      </w:r>
      <w:r w:rsidRPr="00FB1661" w:rsidR="00FB1661">
        <w:rPr>
          <w:sz w:val="22"/>
          <w:szCs w:val="22"/>
        </w:rPr>
        <w:t>omenzando con la décima misión del transbordador en enero de 1984 y concluyendo con la vigésimo quinta (el vuelo del Challenger), más de la mitad de las misiones experimentaron problemas con las juntas tóricas. Esta tendencia no fue identificada ni analizada por SR&amp;QA (Comisión Presidencial, 1986, 1: 155–156).</w:t>
      </w:r>
    </w:p>
    <w:p w:rsidRPr="0077105B" w:rsidR="0077105B" w:rsidP="0077105B" w:rsidRDefault="00E9133E" w14:paraId="426EDD28" w14:textId="77777777">
      <w:pPr>
        <w:jc w:val="both"/>
        <w:rPr>
          <w:sz w:val="22"/>
          <w:szCs w:val="22"/>
        </w:rPr>
      </w:pPr>
      <w:r w:rsidRPr="0077105B">
        <w:rPr>
          <w:sz w:val="22"/>
          <w:szCs w:val="22"/>
        </w:rPr>
        <w:t xml:space="preserve">En tercer lugar, </w:t>
      </w:r>
      <w:r w:rsidRPr="0077105B" w:rsidR="003A1B2F">
        <w:rPr>
          <w:i/>
          <w:iCs/>
          <w:sz w:val="22"/>
          <w:szCs w:val="22"/>
        </w:rPr>
        <w:t xml:space="preserve">requisitos de reporte de problemas, </w:t>
      </w:r>
      <w:r w:rsidRPr="0077105B" w:rsidR="003B7BE5">
        <w:rPr>
          <w:sz w:val="22"/>
          <w:szCs w:val="22"/>
        </w:rPr>
        <w:t>donde se evidenciaron tres fallas durante la investigación: 1.</w:t>
      </w:r>
      <w:r w:rsidRPr="0077105B" w:rsidR="009C1BED">
        <w:rPr>
          <w:sz w:val="22"/>
          <w:szCs w:val="22"/>
        </w:rPr>
        <w:t>)</w:t>
      </w:r>
      <w:r w:rsidRPr="0077105B" w:rsidR="003B7BE5">
        <w:rPr>
          <w:sz w:val="22"/>
          <w:szCs w:val="22"/>
        </w:rPr>
        <w:t xml:space="preserve"> </w:t>
      </w:r>
      <w:r w:rsidRPr="0077105B" w:rsidR="005C2384">
        <w:rPr>
          <w:sz w:val="22"/>
          <w:szCs w:val="22"/>
        </w:rPr>
        <w:t>SR&amp;QA no estableció ni mantuvo requisitos claros y suficientes para reportar los problemas del transbordador hacia los niveles superiores en la jerarquía de la NASA (Comisión Presidencial, 1986, 1: 154), 2.</w:t>
      </w:r>
      <w:r w:rsidRPr="0077105B" w:rsidR="009C1BED">
        <w:rPr>
          <w:sz w:val="22"/>
          <w:szCs w:val="22"/>
        </w:rPr>
        <w:t>)</w:t>
      </w:r>
      <w:r w:rsidRPr="0077105B" w:rsidR="005C2384">
        <w:rPr>
          <w:sz w:val="22"/>
          <w:szCs w:val="22"/>
        </w:rPr>
        <w:t xml:space="preserve"> </w:t>
      </w:r>
      <w:r w:rsidRPr="0077105B" w:rsidR="009C1BED">
        <w:rPr>
          <w:sz w:val="22"/>
          <w:szCs w:val="22"/>
        </w:rPr>
        <w:t>SR&amp;QA no logró crear un conjunto conciso de requisitos para reportar anomalías en vuelo (eventos inesperados o desviaciones inexplicadas de la experiencia de misiones pasadas). Las reglas que estaban en vigor estaban dispersas en documentos individuales y a menudo se contradecían entre sí, causando confusión sobre qué documento aplicaba y a qué nivel de gestión debía comunicarse un problema (Comisión Presidencial, 1986, 1: 154–155) y 3.)</w:t>
      </w:r>
      <w:r w:rsidRPr="0077105B" w:rsidR="005135E7">
        <w:rPr>
          <w:sz w:val="22"/>
          <w:szCs w:val="22"/>
        </w:rPr>
        <w:t xml:space="preserve"> </w:t>
      </w:r>
      <w:r w:rsidRPr="0077105B" w:rsidR="0077105B">
        <w:rPr>
          <w:sz w:val="22"/>
          <w:szCs w:val="22"/>
        </w:rPr>
        <w:t>SR&amp;QA no logró identificar incumplimientos en los requisitos de reporte relacionados con problemas de seguridad. Según las normas de la NASA, los gerentes de proyecto de Nivel III debían informar a los niveles superiores sobre cualquier restricción de lanzamiento, medidas que se imponen cuando se detecta un riesgo serio y que obligan a tomar acciones correctivas antes de autorizar un vuelo (Comisión Presidencial, 1986, 1: 138, 159).</w:t>
      </w:r>
    </w:p>
    <w:p w:rsidRPr="0077105B" w:rsidR="0077105B" w:rsidP="0077105B" w:rsidRDefault="0077105B" w14:paraId="32270FFD" w14:textId="77777777">
      <w:pPr>
        <w:jc w:val="both"/>
        <w:rPr>
          <w:sz w:val="22"/>
          <w:szCs w:val="22"/>
        </w:rPr>
      </w:pPr>
      <w:r w:rsidRPr="0077105B">
        <w:rPr>
          <w:sz w:val="22"/>
          <w:szCs w:val="22"/>
        </w:rPr>
        <w:t>Tras observarse una fuerte erosión en las juntas tóricas después del lanzamiento de abril de 1985, se estableció una restricción que afectaba a los seis vuelos siguientes del transbordador (Comisión Presidencial, 1986, 1: 137). Sin embargo, antes de cada misión, el gerente del proyecto del SRB de Nivel III, Lawrence Mulloy, levantaba formalmente la restricción y autorizaba el lanzamiento. Estas decisiones no fueron comunicadas a los administradores de Nivel II ni Nivel I, lo que constituyó una violación de los procedimientos de reporte, situación que SR&amp;QA tampoco detectó (Comisión Presidencial, 1986, 1: 138–139, 155, 159).</w:t>
      </w:r>
    </w:p>
    <w:p w:rsidRPr="0077105B" w:rsidR="0077105B" w:rsidP="0077105B" w:rsidRDefault="0077105B" w14:paraId="1F9D2931" w14:textId="77777777">
      <w:pPr>
        <w:jc w:val="both"/>
        <w:rPr>
          <w:sz w:val="22"/>
          <w:szCs w:val="22"/>
        </w:rPr>
      </w:pPr>
      <w:r w:rsidRPr="0077105B">
        <w:rPr>
          <w:sz w:val="22"/>
          <w:szCs w:val="22"/>
        </w:rPr>
        <w:lastRenderedPageBreak/>
        <w:t xml:space="preserve">Además, la información sobre tendencias, estado de los riesgos y problemas de seguridad no se comunicaba con la claridad ni el énfasis necesarios. La Comisión también destacó que el personal de SR&amp;QA estuvo ausente en decisiones críticas, como la teleconferencia previa al lanzamiento entre el Centro Marshall y Morton </w:t>
      </w:r>
      <w:proofErr w:type="spellStart"/>
      <w:r w:rsidRPr="0077105B">
        <w:rPr>
          <w:sz w:val="22"/>
          <w:szCs w:val="22"/>
        </w:rPr>
        <w:t>Thiokol</w:t>
      </w:r>
      <w:proofErr w:type="spellEnd"/>
      <w:r w:rsidRPr="0077105B">
        <w:rPr>
          <w:sz w:val="22"/>
          <w:szCs w:val="22"/>
        </w:rPr>
        <w:t>, en la que ingenieros advirtieron sobre el riesgo de erosión de las juntas tóricas y recomendaron no lanzar el transbordador debido a las bajas temperaturas previstas (Comisión Presidencial, 1986, 1: 152).</w:t>
      </w:r>
    </w:p>
    <w:p w:rsidR="00AC3B96" w:rsidP="00AE0CEE" w:rsidRDefault="00AC3B96" w14:paraId="43E8E547" w14:textId="613F57F0">
      <w:pPr>
        <w:jc w:val="both"/>
        <w:rPr>
          <w:sz w:val="22"/>
          <w:szCs w:val="22"/>
        </w:rPr>
      </w:pPr>
      <w:r>
        <w:rPr>
          <w:sz w:val="22"/>
          <w:szCs w:val="22"/>
        </w:rPr>
        <w:t xml:space="preserve">De otra parte, es importante mencionar </w:t>
      </w:r>
      <w:r w:rsidR="00934484">
        <w:rPr>
          <w:sz w:val="22"/>
          <w:szCs w:val="22"/>
        </w:rPr>
        <w:t xml:space="preserve">que </w:t>
      </w:r>
      <w:r w:rsidR="004B1683">
        <w:rPr>
          <w:sz w:val="22"/>
          <w:szCs w:val="22"/>
        </w:rPr>
        <w:t xml:space="preserve">la NASA también contaba con un proceso de regulación externo, </w:t>
      </w:r>
      <w:r w:rsidR="000E3204">
        <w:rPr>
          <w:sz w:val="22"/>
          <w:szCs w:val="22"/>
        </w:rPr>
        <w:t>donde</w:t>
      </w:r>
      <w:r w:rsidR="004B1683">
        <w:rPr>
          <w:sz w:val="22"/>
          <w:szCs w:val="22"/>
        </w:rPr>
        <w:t>, a</w:t>
      </w:r>
      <w:r w:rsidRPr="00AE0CEE" w:rsidR="00AE0CEE">
        <w:rPr>
          <w:sz w:val="22"/>
          <w:szCs w:val="22"/>
        </w:rPr>
        <w:t>nte limitaciones para acceder directamente a la información necesaria, los reguladores suelen recurrir a la propia entidad supervisada para la recopilación e interpretación de los datos. Si bien esta dinámica puede facilitar la gestión operativa, también introduce riesgos que pueden erosionar de manera implícita la efectividad del control regulatorio.</w:t>
      </w:r>
      <w:r w:rsidR="000E3204">
        <w:rPr>
          <w:sz w:val="22"/>
          <w:szCs w:val="22"/>
        </w:rPr>
        <w:t xml:space="preserve"> </w:t>
      </w:r>
      <w:r w:rsidRPr="00AE0CEE" w:rsidR="00AE0CEE">
        <w:rPr>
          <w:sz w:val="22"/>
          <w:szCs w:val="22"/>
        </w:rPr>
        <w:t>En primer lugar, la forma en que los reguladores conceptualizan y diagnostican las problemáticas puede verse condicionada por los datos suministrados por la organización regulada. En segundo término, esta asimetría o dependencia informativa puede propiciar vínculos estrechos que hagan a los reguladores más proclives a internalizar la lógica del regulado, disminuyendo así su disposición o capacidad para detectar y sancionar incumplimientos. Por último, este escenario facilita que la organización regulada pueda distorsionar u ocultar información deliberadamente, pues la dependencia establecida dificulta la identificación de posibles manipulaciones o sesgos en los datos reportados (Selznick, 1966).</w:t>
      </w:r>
      <w:r>
        <w:rPr>
          <w:sz w:val="22"/>
          <w:szCs w:val="22"/>
        </w:rPr>
        <w:t xml:space="preserve"> </w:t>
      </w:r>
    </w:p>
    <w:p w:rsidRPr="006E7643" w:rsidR="006956BA" w:rsidP="00AE0CEE" w:rsidRDefault="006956BA" w14:paraId="1150468C" w14:textId="6ED4F131">
      <w:pPr>
        <w:jc w:val="both"/>
        <w:rPr>
          <w:sz w:val="22"/>
          <w:szCs w:val="22"/>
        </w:rPr>
      </w:pPr>
      <w:r>
        <w:rPr>
          <w:sz w:val="22"/>
          <w:szCs w:val="22"/>
        </w:rPr>
        <w:t xml:space="preserve">Sobre lo anterior, Diana Vaughan (1990) </w:t>
      </w:r>
      <w:r w:rsidR="00BC3C0C">
        <w:rPr>
          <w:sz w:val="22"/>
          <w:szCs w:val="22"/>
        </w:rPr>
        <w:t xml:space="preserve">aoje el término de interdependencia explicando que </w:t>
      </w:r>
      <w:r w:rsidR="007B4E4D">
        <w:rPr>
          <w:sz w:val="22"/>
          <w:szCs w:val="22"/>
        </w:rPr>
        <w:t xml:space="preserve">puede ser de dos tipos: </w:t>
      </w:r>
      <w:r w:rsidRPr="00926E5D" w:rsidR="00926E5D">
        <w:rPr>
          <w:i/>
          <w:iCs/>
          <w:sz w:val="22"/>
          <w:szCs w:val="22"/>
        </w:rPr>
        <w:t xml:space="preserve">competitiva, </w:t>
      </w:r>
      <w:r w:rsidRPr="00C15B4B" w:rsidR="00C15B4B">
        <w:rPr>
          <w:sz w:val="22"/>
          <w:szCs w:val="22"/>
        </w:rPr>
        <w:t xml:space="preserve">existe cuando dos organizaciones compiten por los mismos recursos escasos y cuando una tiene éxito, la otra, por definición, fracasa (Pfeffer y </w:t>
      </w:r>
      <w:proofErr w:type="spellStart"/>
      <w:r w:rsidR="006E7643">
        <w:rPr>
          <w:sz w:val="22"/>
          <w:szCs w:val="22"/>
        </w:rPr>
        <w:t>y</w:t>
      </w:r>
      <w:proofErr w:type="spellEnd"/>
      <w:r w:rsidR="006E7643">
        <w:rPr>
          <w:sz w:val="22"/>
          <w:szCs w:val="22"/>
        </w:rPr>
        <w:t xml:space="preserve"> </w:t>
      </w:r>
      <w:r w:rsidRPr="00926E5D" w:rsidR="00926E5D">
        <w:rPr>
          <w:i/>
          <w:iCs/>
          <w:sz w:val="22"/>
          <w:szCs w:val="22"/>
        </w:rPr>
        <w:t>simbiótica</w:t>
      </w:r>
      <w:r w:rsidR="006E7643">
        <w:rPr>
          <w:i/>
          <w:iCs/>
          <w:sz w:val="22"/>
          <w:szCs w:val="22"/>
        </w:rPr>
        <w:t xml:space="preserve">, </w:t>
      </w:r>
      <w:r w:rsidRPr="006E7643" w:rsidR="006E7643">
        <w:rPr>
          <w:sz w:val="22"/>
          <w:szCs w:val="22"/>
        </w:rPr>
        <w:t xml:space="preserve">que se presenta cuando ocurre un intercambio de recursos entre organizaciones de control social y aquellas que regulan: se intercambian diferentes recursos, funcionando la producción de una organización como el insumo de la otra (Pfeffer y </w:t>
      </w:r>
      <w:proofErr w:type="spellStart"/>
      <w:r w:rsidRPr="006E7643" w:rsidR="006E7643">
        <w:rPr>
          <w:sz w:val="22"/>
          <w:szCs w:val="22"/>
        </w:rPr>
        <w:t>Salancik</w:t>
      </w:r>
      <w:proofErr w:type="spellEnd"/>
      <w:r w:rsidRPr="006E7643" w:rsidR="006E7643">
        <w:rPr>
          <w:sz w:val="22"/>
          <w:szCs w:val="22"/>
        </w:rPr>
        <w:t>, 1978: 41).</w:t>
      </w:r>
    </w:p>
    <w:p w:rsidRPr="00F41CCF" w:rsidR="00F41CCF" w:rsidP="00196A40" w:rsidRDefault="00AC15A6" w14:paraId="1A18359F" w14:textId="4885D8AD">
      <w:pPr>
        <w:jc w:val="both"/>
        <w:rPr>
          <w:sz w:val="22"/>
          <w:szCs w:val="22"/>
        </w:rPr>
      </w:pPr>
      <w:r>
        <w:rPr>
          <w:sz w:val="22"/>
          <w:szCs w:val="22"/>
        </w:rPr>
        <w:t>En este contexto, e</w:t>
      </w:r>
      <w:r w:rsidRPr="00F41CCF" w:rsidR="00F41CCF">
        <w:rPr>
          <w:sz w:val="22"/>
          <w:szCs w:val="22"/>
        </w:rPr>
        <w:t>l desastre del Challenger puede comprenderse como el resultado de una falla donde se combinaron problemas técnicos y</w:t>
      </w:r>
      <w:r w:rsidR="00E36AFE">
        <w:rPr>
          <w:sz w:val="22"/>
          <w:szCs w:val="22"/>
        </w:rPr>
        <w:t xml:space="preserve"> </w:t>
      </w:r>
      <w:r w:rsidRPr="00F41CCF" w:rsidR="00F41CCF">
        <w:rPr>
          <w:sz w:val="22"/>
          <w:szCs w:val="22"/>
        </w:rPr>
        <w:t xml:space="preserve">organizacionales. En términos inmediatos, el accidente se originó por una falla técnica: </w:t>
      </w:r>
      <w:r w:rsidR="000B68D6">
        <w:rPr>
          <w:sz w:val="22"/>
          <w:szCs w:val="22"/>
        </w:rPr>
        <w:t xml:space="preserve">donde </w:t>
      </w:r>
      <w:r w:rsidRPr="00F41CCF" w:rsidR="00F41CCF">
        <w:rPr>
          <w:sz w:val="22"/>
          <w:szCs w:val="22"/>
        </w:rPr>
        <w:t xml:space="preserve">las juntas tóricas </w:t>
      </w:r>
      <w:r w:rsidR="000B68D6">
        <w:rPr>
          <w:sz w:val="22"/>
          <w:szCs w:val="22"/>
        </w:rPr>
        <w:t>(</w:t>
      </w:r>
      <w:r w:rsidRPr="00F41CCF" w:rsidR="00F41CCF">
        <w:rPr>
          <w:sz w:val="22"/>
          <w:szCs w:val="22"/>
        </w:rPr>
        <w:t>dos anillos de 0,280 pulgadas de diámetro, fabricados en caucho sintético y diseñados para sellar la unión posterior del propulsor de combustible sólido</w:t>
      </w:r>
      <w:r w:rsidR="00A303F1">
        <w:rPr>
          <w:sz w:val="22"/>
          <w:szCs w:val="22"/>
        </w:rPr>
        <w:t>)</w:t>
      </w:r>
      <w:r w:rsidRPr="00F41CCF" w:rsidR="00F41CCF">
        <w:rPr>
          <w:sz w:val="22"/>
          <w:szCs w:val="22"/>
        </w:rPr>
        <w:t xml:space="preserve"> no lograron cumplir adecuadamente su función de sellado.</w:t>
      </w:r>
      <w:r w:rsidR="00A303F1">
        <w:rPr>
          <w:sz w:val="22"/>
          <w:szCs w:val="22"/>
        </w:rPr>
        <w:t xml:space="preserve"> Los resultados de las investigaciones adelantadas por la Comisión Presidencial</w:t>
      </w:r>
      <w:r w:rsidR="00DE5CB1">
        <w:rPr>
          <w:sz w:val="22"/>
          <w:szCs w:val="22"/>
        </w:rPr>
        <w:t xml:space="preserve"> en </w:t>
      </w:r>
      <w:r w:rsidR="004E055B">
        <w:rPr>
          <w:sz w:val="22"/>
          <w:szCs w:val="22"/>
        </w:rPr>
        <w:t>1986</w:t>
      </w:r>
      <w:r w:rsidR="00DE5CB1">
        <w:rPr>
          <w:sz w:val="22"/>
          <w:szCs w:val="22"/>
        </w:rPr>
        <w:t xml:space="preserve"> mencionaron </w:t>
      </w:r>
      <w:r w:rsidRPr="00F41CCF" w:rsidR="00F41CCF">
        <w:rPr>
          <w:sz w:val="22"/>
          <w:szCs w:val="22"/>
        </w:rPr>
        <w:t>que la deficiencia de diseño interactuó con múltiples factores</w:t>
      </w:r>
      <w:r w:rsidR="00DE5CB1">
        <w:rPr>
          <w:sz w:val="22"/>
          <w:szCs w:val="22"/>
        </w:rPr>
        <w:t>:</w:t>
      </w:r>
      <w:r w:rsidRPr="00F41CCF" w:rsidR="00F41CCF">
        <w:rPr>
          <w:sz w:val="22"/>
          <w:szCs w:val="22"/>
        </w:rPr>
        <w:t xml:space="preserve"> las bajas temperaturas, las dimensiones físicas del sistema, las propiedades de los materiales, los efectos derivados de la reutilización de componentes, las condiciones de procesamiento y la respuesta estructural de la unión ante cargas dinámicas. La combinación de estos elementos produjo un tipo de falla sistémica propio de los accidentes en sistemas técnicos complejos, similares a los descritos por Charles Perrow en su </w:t>
      </w:r>
      <w:r w:rsidR="00D13B1B">
        <w:rPr>
          <w:sz w:val="22"/>
          <w:szCs w:val="22"/>
        </w:rPr>
        <w:t>T</w:t>
      </w:r>
      <w:r w:rsidRPr="00F41CCF" w:rsidR="00F41CCF">
        <w:rPr>
          <w:sz w:val="22"/>
          <w:szCs w:val="22"/>
        </w:rPr>
        <w:t xml:space="preserve">eoría de los </w:t>
      </w:r>
      <w:r w:rsidR="00D13B1B">
        <w:rPr>
          <w:sz w:val="22"/>
          <w:szCs w:val="22"/>
        </w:rPr>
        <w:t>A</w:t>
      </w:r>
      <w:r w:rsidRPr="00F41CCF" w:rsidR="00F41CCF">
        <w:rPr>
          <w:sz w:val="22"/>
          <w:szCs w:val="22"/>
        </w:rPr>
        <w:t xml:space="preserve">ccidentes </w:t>
      </w:r>
      <w:r w:rsidR="00D13B1B">
        <w:rPr>
          <w:sz w:val="22"/>
          <w:szCs w:val="22"/>
        </w:rPr>
        <w:t>N</w:t>
      </w:r>
      <w:r w:rsidRPr="00F41CCF" w:rsidR="00F41CCF">
        <w:rPr>
          <w:sz w:val="22"/>
          <w:szCs w:val="22"/>
        </w:rPr>
        <w:t>ormales</w:t>
      </w:r>
      <w:r w:rsidR="00D13B1B">
        <w:rPr>
          <w:sz w:val="22"/>
          <w:szCs w:val="22"/>
        </w:rPr>
        <w:t xml:space="preserve"> (NAT</w:t>
      </w:r>
      <w:r w:rsidR="005B0056">
        <w:rPr>
          <w:sz w:val="22"/>
          <w:szCs w:val="22"/>
        </w:rPr>
        <w:t>) (Vaughan, 1990).</w:t>
      </w:r>
    </w:p>
    <w:p w:rsidR="00670766" w:rsidP="00F41CCF" w:rsidRDefault="00F41CCF" w14:paraId="7FCDE3F0" w14:textId="5F014424">
      <w:pPr>
        <w:jc w:val="both"/>
        <w:rPr>
          <w:sz w:val="22"/>
          <w:szCs w:val="22"/>
        </w:rPr>
      </w:pPr>
      <w:r w:rsidRPr="00F41CCF">
        <w:rPr>
          <w:sz w:val="22"/>
          <w:szCs w:val="22"/>
        </w:rPr>
        <w:t xml:space="preserve">No obstante, </w:t>
      </w:r>
      <w:r w:rsidR="009945E4">
        <w:rPr>
          <w:sz w:val="22"/>
          <w:szCs w:val="22"/>
        </w:rPr>
        <w:t xml:space="preserve">análisis posteriores evidenciaron que </w:t>
      </w:r>
      <w:r w:rsidRPr="00F41CCF">
        <w:rPr>
          <w:sz w:val="22"/>
          <w:szCs w:val="22"/>
        </w:rPr>
        <w:t>el problema no fue únicamente técnico</w:t>
      </w:r>
      <w:r w:rsidR="009945E4">
        <w:rPr>
          <w:sz w:val="22"/>
          <w:szCs w:val="22"/>
        </w:rPr>
        <w:t xml:space="preserve">, dado que tanto </w:t>
      </w:r>
      <w:r w:rsidRPr="00F41CCF">
        <w:rPr>
          <w:sz w:val="22"/>
          <w:szCs w:val="22"/>
        </w:rPr>
        <w:t xml:space="preserve">la Comisión Presidencial </w:t>
      </w:r>
      <w:r w:rsidR="009945E4">
        <w:rPr>
          <w:sz w:val="22"/>
          <w:szCs w:val="22"/>
        </w:rPr>
        <w:t>como el</w:t>
      </w:r>
      <w:r w:rsidRPr="00F41CCF">
        <w:rPr>
          <w:sz w:val="22"/>
          <w:szCs w:val="22"/>
        </w:rPr>
        <w:t xml:space="preserve"> Comité de Ciencia y Tecnología de la Cámara de </w:t>
      </w:r>
      <w:r w:rsidRPr="00F41CCF">
        <w:rPr>
          <w:sz w:val="22"/>
          <w:szCs w:val="22"/>
        </w:rPr>
        <w:lastRenderedPageBreak/>
        <w:t xml:space="preserve">Representantes de Estados Unidos </w:t>
      </w:r>
      <w:r w:rsidR="009945E4">
        <w:rPr>
          <w:sz w:val="22"/>
          <w:szCs w:val="22"/>
        </w:rPr>
        <w:t>mencionaron</w:t>
      </w:r>
      <w:r w:rsidRPr="00F41CCF">
        <w:rPr>
          <w:sz w:val="22"/>
          <w:szCs w:val="22"/>
        </w:rPr>
        <w:t xml:space="preserve"> que la estructura organizacional de la NASA también contribuyó al desarrollo de la falla</w:t>
      </w:r>
      <w:r w:rsidR="00B04F4A">
        <w:rPr>
          <w:sz w:val="22"/>
          <w:szCs w:val="22"/>
        </w:rPr>
        <w:t>, siendo esta condición organizacional otro de los factores que</w:t>
      </w:r>
      <w:r w:rsidR="00ED4C42">
        <w:rPr>
          <w:sz w:val="22"/>
          <w:szCs w:val="22"/>
        </w:rPr>
        <w:t xml:space="preserve"> interactuó para el fatal desenlace</w:t>
      </w:r>
      <w:r w:rsidRPr="00F41CCF">
        <w:rPr>
          <w:sz w:val="22"/>
          <w:szCs w:val="22"/>
        </w:rPr>
        <w:t xml:space="preserve">. </w:t>
      </w:r>
      <w:r w:rsidR="00ED4C42">
        <w:rPr>
          <w:sz w:val="22"/>
          <w:szCs w:val="22"/>
        </w:rPr>
        <w:t>Lo anterior, porque el proceso de investigación y entrevistas adelantado</w:t>
      </w:r>
      <w:r w:rsidR="00653D54">
        <w:rPr>
          <w:sz w:val="22"/>
          <w:szCs w:val="22"/>
        </w:rPr>
        <w:t xml:space="preserve"> indicó que los</w:t>
      </w:r>
      <w:r w:rsidRPr="00F41CCF">
        <w:rPr>
          <w:sz w:val="22"/>
          <w:szCs w:val="22"/>
        </w:rPr>
        <w:t xml:space="preserve"> primeros indicios de problemas con las juntas tóricas habían sido identificados en 1977</w:t>
      </w:r>
      <w:r w:rsidR="00653D54">
        <w:rPr>
          <w:sz w:val="22"/>
          <w:szCs w:val="22"/>
        </w:rPr>
        <w:t xml:space="preserve">, </w:t>
      </w:r>
      <w:r w:rsidRPr="00F41CCF">
        <w:rPr>
          <w:sz w:val="22"/>
          <w:szCs w:val="22"/>
        </w:rPr>
        <w:t>lo que sugiere que existieron oportunidades tempranas para intervenir y prevenir el desastre</w:t>
      </w:r>
      <w:r w:rsidR="00653D54">
        <w:rPr>
          <w:sz w:val="22"/>
          <w:szCs w:val="22"/>
        </w:rPr>
        <w:t xml:space="preserve"> (Vaughan, 1990)</w:t>
      </w:r>
      <w:r w:rsidR="00B02120">
        <w:rPr>
          <w:sz w:val="22"/>
          <w:szCs w:val="22"/>
        </w:rPr>
        <w:t xml:space="preserve">. Sin embargo, </w:t>
      </w:r>
      <w:r w:rsidR="00970656">
        <w:rPr>
          <w:sz w:val="22"/>
          <w:szCs w:val="22"/>
        </w:rPr>
        <w:t>l</w:t>
      </w:r>
      <w:r w:rsidRPr="00F41CCF">
        <w:rPr>
          <w:sz w:val="22"/>
          <w:szCs w:val="22"/>
        </w:rPr>
        <w:t xml:space="preserve">a respuesta </w:t>
      </w:r>
      <w:r w:rsidR="00970656">
        <w:rPr>
          <w:sz w:val="22"/>
          <w:szCs w:val="22"/>
        </w:rPr>
        <w:t>de la NASA</w:t>
      </w:r>
      <w:r w:rsidRPr="00F41CCF">
        <w:rPr>
          <w:sz w:val="22"/>
          <w:szCs w:val="22"/>
        </w:rPr>
        <w:t xml:space="preserve"> frente a estas señales estuvo marcada por deficiencias </w:t>
      </w:r>
      <w:r w:rsidR="00970656">
        <w:rPr>
          <w:sz w:val="22"/>
          <w:szCs w:val="22"/>
        </w:rPr>
        <w:t xml:space="preserve">organizacionales relacionadas con </w:t>
      </w:r>
      <w:r w:rsidRPr="00F41CCF">
        <w:rPr>
          <w:sz w:val="22"/>
          <w:szCs w:val="22"/>
        </w:rPr>
        <w:t xml:space="preserve">la comunicación interna, </w:t>
      </w:r>
      <w:r w:rsidR="00970656">
        <w:rPr>
          <w:sz w:val="22"/>
          <w:szCs w:val="22"/>
        </w:rPr>
        <w:t xml:space="preserve">el </w:t>
      </w:r>
      <w:r w:rsidRPr="00F41CCF">
        <w:rPr>
          <w:sz w:val="22"/>
          <w:szCs w:val="22"/>
        </w:rPr>
        <w:t xml:space="preserve">manejo inadecuado de la información, </w:t>
      </w:r>
      <w:r w:rsidR="00081795">
        <w:rPr>
          <w:sz w:val="22"/>
          <w:szCs w:val="22"/>
        </w:rPr>
        <w:t xml:space="preserve">los </w:t>
      </w:r>
      <w:r w:rsidRPr="00F41CCF">
        <w:rPr>
          <w:sz w:val="22"/>
          <w:szCs w:val="22"/>
        </w:rPr>
        <w:t>procesos defectuosos de toma de decisiones técnicas y el incumplimiento de procedimientos establecidos para garantizar la seguridad (Comisión Presidencial, 1986, 1:82–150; Comité de Ciencia y Tecnología de la Cámara de Representantes, 1986a:138–178). A ello se sumó la incapacidad del sistema regulatorio encargado de supervisar la seguridad del programa del transbordador, que no logró detectar ni corregir los problemas de gestión y diseño asociados a las juntas tóricas</w:t>
      </w:r>
      <w:r w:rsidR="00FA166B">
        <w:rPr>
          <w:sz w:val="22"/>
          <w:szCs w:val="22"/>
        </w:rPr>
        <w:t xml:space="preserve"> (Vaughan, 1990)</w:t>
      </w:r>
      <w:r w:rsidRPr="00F41CCF">
        <w:rPr>
          <w:sz w:val="22"/>
          <w:szCs w:val="22"/>
        </w:rPr>
        <w:t>.</w:t>
      </w:r>
      <w:r w:rsidR="00380785">
        <w:rPr>
          <w:sz w:val="22"/>
          <w:szCs w:val="22"/>
        </w:rPr>
        <w:t xml:space="preserve"> </w:t>
      </w:r>
      <w:r w:rsidRPr="00F41CCF">
        <w:rPr>
          <w:sz w:val="22"/>
          <w:szCs w:val="22"/>
        </w:rPr>
        <w:t>Dentro de la propia NASA, algunos funcionarios describían estas fallas institucionales con el término “</w:t>
      </w:r>
      <w:proofErr w:type="spellStart"/>
      <w:r w:rsidRPr="00F41CCF">
        <w:rPr>
          <w:i/>
          <w:iCs/>
          <w:sz w:val="22"/>
          <w:szCs w:val="22"/>
        </w:rPr>
        <w:t>quality</w:t>
      </w:r>
      <w:proofErr w:type="spellEnd"/>
      <w:r w:rsidRPr="00F41CCF">
        <w:rPr>
          <w:i/>
          <w:iCs/>
          <w:sz w:val="22"/>
          <w:szCs w:val="22"/>
        </w:rPr>
        <w:t xml:space="preserve"> escapes</w:t>
      </w:r>
      <w:r w:rsidRPr="00F41CCF">
        <w:rPr>
          <w:sz w:val="22"/>
          <w:szCs w:val="22"/>
        </w:rPr>
        <w:t xml:space="preserve">”, expresión utilizada para referirse a situaciones en las que el sistema de control no logra evitar problemas que eran potencialmente prevenibles (Comisión Presidencial, 1986, 1:156, 159). </w:t>
      </w:r>
    </w:p>
    <w:p w:rsidRPr="00A62B11" w:rsidR="00A62B11" w:rsidP="004F1FA1" w:rsidRDefault="00F145A2" w14:paraId="182FB1D7" w14:textId="365020A5">
      <w:pPr>
        <w:jc w:val="both"/>
        <w:rPr>
          <w:sz w:val="22"/>
          <w:szCs w:val="22"/>
        </w:rPr>
      </w:pPr>
      <w:r w:rsidRPr="00F41CCF">
        <w:rPr>
          <w:sz w:val="22"/>
          <w:szCs w:val="22"/>
        </w:rPr>
        <w:t>En consecuencia, el mecanismo interno de supervisión de seguridad resultó tan ineficaz que el informe de la Comisión Presidencial llegó a denominarlo “el programa silencioso de seguridad” (1986, 1:152), evidenciando su escasa capacidad real de vigilancia sobre las operaciones del transbordador</w:t>
      </w:r>
      <w:r w:rsidR="00FA42DE">
        <w:rPr>
          <w:sz w:val="22"/>
          <w:szCs w:val="22"/>
        </w:rPr>
        <w:t xml:space="preserve"> y esto combinado con factores organizacionales, de interdependencia en la regulación</w:t>
      </w:r>
      <w:r w:rsidR="000E36B8">
        <w:rPr>
          <w:sz w:val="22"/>
          <w:szCs w:val="22"/>
        </w:rPr>
        <w:t xml:space="preserve">, ausencia de </w:t>
      </w:r>
      <w:r w:rsidR="00A11FC7">
        <w:rPr>
          <w:sz w:val="22"/>
          <w:szCs w:val="22"/>
        </w:rPr>
        <w:t>requisitos</w:t>
      </w:r>
      <w:r w:rsidR="000E36B8">
        <w:rPr>
          <w:sz w:val="22"/>
          <w:szCs w:val="22"/>
        </w:rPr>
        <w:t xml:space="preserve"> claros para el reporte de fallas y el no escalamiento de la información de riesgo, podrían ser solo algunas de las causas que</w:t>
      </w:r>
      <w:r w:rsidR="00A11FC7">
        <w:rPr>
          <w:sz w:val="22"/>
          <w:szCs w:val="22"/>
        </w:rPr>
        <w:t xml:space="preserve"> desencadenaron el infortunado desastre.</w:t>
      </w:r>
    </w:p>
    <w:p w:rsidRPr="001F0C46" w:rsidR="00334003" w:rsidP="00925D94" w:rsidRDefault="00A4548D" w14:paraId="48596FD9" w14:textId="37C17E29">
      <w:pPr>
        <w:pStyle w:val="Ttulo3"/>
        <w:numPr>
          <w:ilvl w:val="2"/>
          <w:numId w:val="6"/>
        </w:numPr>
        <w:ind w:left="567" w:firstLine="0"/>
        <w:rPr>
          <w:b/>
          <w:bCs/>
          <w:color w:val="auto"/>
          <w:sz w:val="24"/>
          <w:szCs w:val="24"/>
        </w:rPr>
      </w:pPr>
      <w:bookmarkStart w:name="_Toc225160610" w:id="15"/>
      <w:r w:rsidRPr="001F0C46">
        <w:rPr>
          <w:b/>
          <w:bCs/>
          <w:color w:val="auto"/>
          <w:sz w:val="24"/>
          <w:szCs w:val="24"/>
        </w:rPr>
        <w:t xml:space="preserve">El colapso de Carillion </w:t>
      </w:r>
      <w:r w:rsidRPr="001F0C46" w:rsidR="00334003">
        <w:rPr>
          <w:b/>
          <w:bCs/>
          <w:color w:val="auto"/>
          <w:sz w:val="24"/>
          <w:szCs w:val="24"/>
        </w:rPr>
        <w:t>(</w:t>
      </w:r>
      <w:r w:rsidRPr="001F0C46">
        <w:rPr>
          <w:b/>
          <w:bCs/>
          <w:color w:val="auto"/>
          <w:sz w:val="24"/>
          <w:szCs w:val="24"/>
        </w:rPr>
        <w:t>2018</w:t>
      </w:r>
      <w:r w:rsidRPr="001F0C46" w:rsidR="00334003">
        <w:rPr>
          <w:b/>
          <w:bCs/>
          <w:color w:val="auto"/>
          <w:sz w:val="24"/>
          <w:szCs w:val="24"/>
        </w:rPr>
        <w:t>)</w:t>
      </w:r>
      <w:bookmarkEnd w:id="15"/>
    </w:p>
    <w:p w:rsidR="00095F85" w:rsidP="00334003" w:rsidRDefault="00095F85" w14:paraId="643B7231" w14:textId="77777777">
      <w:pPr>
        <w:jc w:val="both"/>
        <w:rPr>
          <w:b/>
          <w:bCs/>
          <w:sz w:val="22"/>
          <w:szCs w:val="22"/>
        </w:rPr>
      </w:pPr>
    </w:p>
    <w:p w:rsidR="001B21F0" w:rsidP="001B21F0" w:rsidRDefault="002634E1" w14:paraId="0964A8A4" w14:textId="4A9DD780">
      <w:pPr>
        <w:spacing w:after="0"/>
        <w:jc w:val="both"/>
        <w:rPr>
          <w:sz w:val="22"/>
          <w:szCs w:val="22"/>
        </w:rPr>
      </w:pPr>
      <w:r w:rsidRPr="00A23C66">
        <w:rPr>
          <w:sz w:val="22"/>
          <w:szCs w:val="22"/>
        </w:rPr>
        <w:t xml:space="preserve">El 15 de enero de 2018, </w:t>
      </w:r>
      <w:r w:rsidRPr="0090712F" w:rsidR="00493057">
        <w:rPr>
          <w:sz w:val="22"/>
          <w:szCs w:val="22"/>
        </w:rPr>
        <w:t xml:space="preserve">la </w:t>
      </w:r>
      <w:r w:rsidRPr="004D57E2" w:rsidR="00493057">
        <w:rPr>
          <w:sz w:val="22"/>
          <w:szCs w:val="22"/>
        </w:rPr>
        <w:t xml:space="preserve">empresa multinacional británica de gestión de instalaciones y servicios de construcción </w:t>
      </w:r>
      <w:r w:rsidRPr="0090712F" w:rsidR="00493057">
        <w:rPr>
          <w:sz w:val="22"/>
          <w:szCs w:val="22"/>
        </w:rPr>
        <w:t>-</w:t>
      </w:r>
      <w:r w:rsidRPr="00A23C66">
        <w:rPr>
          <w:sz w:val="22"/>
          <w:szCs w:val="22"/>
        </w:rPr>
        <w:t xml:space="preserve"> </w:t>
      </w:r>
      <w:r w:rsidRPr="00A23C66">
        <w:rPr>
          <w:i/>
          <w:iCs/>
          <w:sz w:val="22"/>
          <w:szCs w:val="22"/>
        </w:rPr>
        <w:t>Carillion</w:t>
      </w:r>
      <w:r w:rsidRPr="00A23C66">
        <w:rPr>
          <w:sz w:val="22"/>
          <w:szCs w:val="22"/>
        </w:rPr>
        <w:t xml:space="preserve"> entró en liquidación dejando una deuda de £7.1 mil millones y un impacto inmediato en más de 30.000 subcontratistas y proveedores, empleados, pensionados, accionistas, socios de empresas conjuntas y clientes en el Reino Unido, Canadá y otros países.</w:t>
      </w:r>
      <w:r w:rsidRPr="0090712F" w:rsidR="00A04B52">
        <w:rPr>
          <w:sz w:val="22"/>
          <w:szCs w:val="22"/>
        </w:rPr>
        <w:t xml:space="preserve"> Sobre las razones del colapso se han desarrollado diversas investigaciones que intentan comprender </w:t>
      </w:r>
      <w:r w:rsidRPr="0090712F" w:rsidR="00D635C0">
        <w:rPr>
          <w:sz w:val="22"/>
          <w:szCs w:val="22"/>
        </w:rPr>
        <w:t>los factores</w:t>
      </w:r>
      <w:r w:rsidRPr="0090712F" w:rsidR="00C614D3">
        <w:rPr>
          <w:sz w:val="22"/>
          <w:szCs w:val="22"/>
        </w:rPr>
        <w:t xml:space="preserve"> que facilitaron </w:t>
      </w:r>
      <w:r w:rsidRPr="0090712F" w:rsidR="00A6583B">
        <w:rPr>
          <w:sz w:val="22"/>
          <w:szCs w:val="22"/>
        </w:rPr>
        <w:t>este</w:t>
      </w:r>
      <w:r w:rsidRPr="0090712F" w:rsidR="00F422FA">
        <w:rPr>
          <w:sz w:val="22"/>
          <w:szCs w:val="22"/>
        </w:rPr>
        <w:t xml:space="preserve"> </w:t>
      </w:r>
      <w:r w:rsidRPr="0090712F" w:rsidR="009561DA">
        <w:rPr>
          <w:sz w:val="22"/>
          <w:szCs w:val="22"/>
        </w:rPr>
        <w:t>complejo proceso</w:t>
      </w:r>
      <w:r w:rsidR="00EF2A7F">
        <w:rPr>
          <w:sz w:val="22"/>
          <w:szCs w:val="22"/>
        </w:rPr>
        <w:t xml:space="preserve"> y sobre las cuales se toma información para la descripción de</w:t>
      </w:r>
      <w:r w:rsidR="00BF7B5D">
        <w:rPr>
          <w:sz w:val="22"/>
          <w:szCs w:val="22"/>
        </w:rPr>
        <w:t>l caso en este documento</w:t>
      </w:r>
      <w:r w:rsidRPr="0090712F" w:rsidR="009561DA">
        <w:rPr>
          <w:sz w:val="22"/>
          <w:szCs w:val="22"/>
        </w:rPr>
        <w:t>.</w:t>
      </w:r>
      <w:r w:rsidR="00441A41">
        <w:rPr>
          <w:sz w:val="22"/>
          <w:szCs w:val="22"/>
        </w:rPr>
        <w:t xml:space="preserve"> </w:t>
      </w:r>
    </w:p>
    <w:p w:rsidR="001B21F0" w:rsidP="001B21F0" w:rsidRDefault="001B21F0" w14:paraId="5A4A46AA" w14:textId="77777777">
      <w:pPr>
        <w:spacing w:after="0"/>
        <w:jc w:val="both"/>
        <w:rPr>
          <w:sz w:val="22"/>
          <w:szCs w:val="22"/>
        </w:rPr>
      </w:pPr>
    </w:p>
    <w:p w:rsidR="007C3AC6" w:rsidP="001B21F0" w:rsidRDefault="007C3AC6" w14:paraId="3CD753F1" w14:textId="330BD528">
      <w:pPr>
        <w:spacing w:after="0"/>
        <w:jc w:val="both"/>
        <w:rPr>
          <w:sz w:val="22"/>
          <w:szCs w:val="22"/>
        </w:rPr>
      </w:pPr>
      <w:r w:rsidRPr="00780B53">
        <w:rPr>
          <w:sz w:val="22"/>
          <w:szCs w:val="22"/>
        </w:rPr>
        <w:t>Antes de su colapso, Carillion, con</w:t>
      </w:r>
      <w:r w:rsidR="00BF7B5D">
        <w:rPr>
          <w:sz w:val="22"/>
          <w:szCs w:val="22"/>
        </w:rPr>
        <w:t>taba con</w:t>
      </w:r>
      <w:r w:rsidRPr="00780B53">
        <w:rPr>
          <w:sz w:val="22"/>
          <w:szCs w:val="22"/>
        </w:rPr>
        <w:t xml:space="preserve"> 43.000 empleados, era la segunda mayor empresa de construcción y gestión de instalaciones del Reino Unido, y tenía un gran número de contratos que prestaban servicios públicos esenciales </w:t>
      </w:r>
      <w:r w:rsidRPr="0090712F" w:rsidR="00680A0F">
        <w:rPr>
          <w:sz w:val="22"/>
          <w:szCs w:val="22"/>
        </w:rPr>
        <w:t xml:space="preserve">como el </w:t>
      </w:r>
      <w:r w:rsidRPr="0090712F">
        <w:rPr>
          <w:sz w:val="22"/>
          <w:szCs w:val="22"/>
        </w:rPr>
        <w:t>Sistema de Salud</w:t>
      </w:r>
      <w:r w:rsidRPr="0090712F" w:rsidR="00A168E1">
        <w:rPr>
          <w:sz w:val="22"/>
          <w:szCs w:val="22"/>
        </w:rPr>
        <w:t xml:space="preserve"> Pública</w:t>
      </w:r>
      <w:r w:rsidRPr="00780B53">
        <w:rPr>
          <w:sz w:val="22"/>
          <w:szCs w:val="22"/>
        </w:rPr>
        <w:t>, defensa, educación, energía y prisiones. La empresa colapsó tras sufrir impactos financieros derivados de acuerdos PFI</w:t>
      </w:r>
      <w:r w:rsidRPr="0090712F" w:rsidR="00122FB2">
        <w:rPr>
          <w:sz w:val="22"/>
          <w:szCs w:val="22"/>
        </w:rPr>
        <w:t xml:space="preserve"> (</w:t>
      </w:r>
      <w:r w:rsidRPr="0090712F" w:rsidR="00122FB2">
        <w:rPr>
          <w:i/>
          <w:iCs/>
          <w:sz w:val="22"/>
          <w:szCs w:val="22"/>
        </w:rPr>
        <w:t xml:space="preserve">Private </w:t>
      </w:r>
      <w:proofErr w:type="spellStart"/>
      <w:r w:rsidRPr="0090712F" w:rsidR="00122FB2">
        <w:rPr>
          <w:i/>
          <w:iCs/>
          <w:sz w:val="22"/>
          <w:szCs w:val="22"/>
        </w:rPr>
        <w:t>Finance</w:t>
      </w:r>
      <w:proofErr w:type="spellEnd"/>
      <w:r w:rsidRPr="0090712F" w:rsidR="00122FB2">
        <w:rPr>
          <w:i/>
          <w:iCs/>
          <w:sz w:val="22"/>
          <w:szCs w:val="22"/>
        </w:rPr>
        <w:t xml:space="preserve"> </w:t>
      </w:r>
      <w:proofErr w:type="spellStart"/>
      <w:r w:rsidRPr="0090712F" w:rsidR="00122FB2">
        <w:rPr>
          <w:i/>
          <w:iCs/>
          <w:sz w:val="22"/>
          <w:szCs w:val="22"/>
        </w:rPr>
        <w:t>Initiative</w:t>
      </w:r>
      <w:proofErr w:type="spellEnd"/>
      <w:r w:rsidRPr="0090712F" w:rsidR="00122FB2">
        <w:rPr>
          <w:i/>
          <w:iCs/>
          <w:sz w:val="22"/>
          <w:szCs w:val="22"/>
        </w:rPr>
        <w:t> o Iniciativa de Financiación Privada</w:t>
      </w:r>
      <w:r w:rsidRPr="0090712F" w:rsidR="00122FB2">
        <w:rPr>
          <w:sz w:val="22"/>
          <w:szCs w:val="22"/>
        </w:rPr>
        <w:t>)</w:t>
      </w:r>
      <w:r w:rsidRPr="00780B53">
        <w:rPr>
          <w:sz w:val="22"/>
          <w:szCs w:val="22"/>
        </w:rPr>
        <w:t>. Carillion dejó varios contratos PFI</w:t>
      </w:r>
      <w:r w:rsidRPr="0090712F" w:rsidR="00F836E4">
        <w:rPr>
          <w:sz w:val="22"/>
          <w:szCs w:val="22"/>
        </w:rPr>
        <w:t xml:space="preserve"> </w:t>
      </w:r>
      <w:r w:rsidRPr="00780B53">
        <w:rPr>
          <w:sz w:val="22"/>
          <w:szCs w:val="22"/>
        </w:rPr>
        <w:t xml:space="preserve">parcialmente terminados y generó incertidumbre sobre la provisión de servicios públicos, </w:t>
      </w:r>
      <w:r w:rsidRPr="00780B53">
        <w:rPr>
          <w:sz w:val="22"/>
          <w:szCs w:val="22"/>
        </w:rPr>
        <w:lastRenderedPageBreak/>
        <w:t>obligando al gobierno a intervenir. Además, el colapso de Carillion puso en cuestión el papel de los reguladores contables, de pensiones y gubernamentales en la promoción de una buena gobernanza corporativa.</w:t>
      </w:r>
    </w:p>
    <w:p w:rsidRPr="0090712F" w:rsidR="001B21F0" w:rsidP="001B21F0" w:rsidRDefault="001B21F0" w14:paraId="40CA9B24" w14:textId="77777777">
      <w:pPr>
        <w:spacing w:after="0"/>
        <w:jc w:val="both"/>
        <w:rPr>
          <w:sz w:val="22"/>
          <w:szCs w:val="22"/>
        </w:rPr>
      </w:pPr>
    </w:p>
    <w:p w:rsidR="0064276A" w:rsidP="001B21F0" w:rsidRDefault="004463E2" w14:paraId="3A1F7976" w14:textId="692FB3EB">
      <w:pPr>
        <w:spacing w:line="276" w:lineRule="auto"/>
        <w:jc w:val="both"/>
        <w:rPr>
          <w:rFonts w:eastAsiaTheme="minorEastAsia"/>
          <w:sz w:val="22"/>
          <w:szCs w:val="22"/>
        </w:rPr>
      </w:pPr>
      <w:r w:rsidRPr="0090712F">
        <w:rPr>
          <w:sz w:val="22"/>
          <w:szCs w:val="22"/>
        </w:rPr>
        <w:t>Para entender el colapso, será importante presentar un breve resumen de las características de gobernanza de la compañía</w:t>
      </w:r>
      <w:r w:rsidRPr="0090712F" w:rsidR="00C00983">
        <w:rPr>
          <w:sz w:val="22"/>
          <w:szCs w:val="22"/>
        </w:rPr>
        <w:t xml:space="preserve">, la toma de decisiones, </w:t>
      </w:r>
      <w:r w:rsidRPr="0090712F">
        <w:rPr>
          <w:sz w:val="22"/>
          <w:szCs w:val="22"/>
        </w:rPr>
        <w:t xml:space="preserve">las condiciones contractuales </w:t>
      </w:r>
      <w:r w:rsidRPr="0090712F" w:rsidR="00A43F91">
        <w:rPr>
          <w:sz w:val="22"/>
          <w:szCs w:val="22"/>
        </w:rPr>
        <w:t>ejecutadas, las inversiones y</w:t>
      </w:r>
      <w:r w:rsidRPr="0090712F" w:rsidR="001F16E8">
        <w:rPr>
          <w:sz w:val="22"/>
          <w:szCs w:val="22"/>
        </w:rPr>
        <w:t xml:space="preserve"> el mercado. </w:t>
      </w:r>
      <w:r w:rsidR="00E361DD">
        <w:rPr>
          <w:sz w:val="22"/>
          <w:szCs w:val="22"/>
        </w:rPr>
        <w:t xml:space="preserve"> </w:t>
      </w:r>
      <w:r w:rsidRPr="0090712F" w:rsidR="0064276A">
        <w:rPr>
          <w:sz w:val="22"/>
          <w:szCs w:val="22"/>
        </w:rPr>
        <w:t xml:space="preserve">Carillion tenía una estructura organizacional corporativa típica de una empresa multinacional, con un consejo de administración </w:t>
      </w:r>
      <w:r w:rsidRPr="0090712F" w:rsidR="00DD344A">
        <w:rPr>
          <w:sz w:val="22"/>
          <w:szCs w:val="22"/>
        </w:rPr>
        <w:t>que se encargaba</w:t>
      </w:r>
      <w:r w:rsidRPr="0090712F" w:rsidR="0064276A">
        <w:rPr>
          <w:sz w:val="22"/>
          <w:szCs w:val="22"/>
        </w:rPr>
        <w:t xml:space="preserve"> de supervisar la estrategia general y un equipo ejecutivo responsable de la gestión operativa. El consejo estaba compuesto </w:t>
      </w:r>
      <w:r w:rsidR="00790DF6">
        <w:rPr>
          <w:sz w:val="22"/>
          <w:szCs w:val="22"/>
        </w:rPr>
        <w:t>por</w:t>
      </w:r>
      <w:r w:rsidRPr="00195A13" w:rsidR="00195A13">
        <w:rPr>
          <w:sz w:val="22"/>
          <w:szCs w:val="22"/>
        </w:rPr>
        <w:t xml:space="preserve"> siete miembros</w:t>
      </w:r>
      <w:r w:rsidR="00790DF6">
        <w:rPr>
          <w:sz w:val="22"/>
          <w:szCs w:val="22"/>
        </w:rPr>
        <w:t>:</w:t>
      </w:r>
      <w:r w:rsidRPr="00195A13" w:rsidR="00195A13">
        <w:rPr>
          <w:sz w:val="22"/>
          <w:szCs w:val="22"/>
        </w:rPr>
        <w:t xml:space="preserve"> el director ejecutivo de la empresa, el director financiero y cinco directores no ejecutivos </w:t>
      </w:r>
      <w:r w:rsidRPr="0090712F" w:rsidR="006F15CE">
        <w:rPr>
          <w:sz w:val="22"/>
          <w:szCs w:val="22"/>
        </w:rPr>
        <w:t xml:space="preserve">(Carillion </w:t>
      </w:r>
      <w:proofErr w:type="spellStart"/>
      <w:r w:rsidRPr="0090712F" w:rsidR="006F15CE">
        <w:rPr>
          <w:sz w:val="22"/>
          <w:szCs w:val="22"/>
        </w:rPr>
        <w:t>plc</w:t>
      </w:r>
      <w:proofErr w:type="spellEnd"/>
      <w:r w:rsidRPr="0090712F" w:rsidR="006F15CE">
        <w:rPr>
          <w:sz w:val="22"/>
          <w:szCs w:val="22"/>
        </w:rPr>
        <w:t>, 2017)</w:t>
      </w:r>
      <w:r w:rsidR="006F15CE">
        <w:rPr>
          <w:sz w:val="22"/>
          <w:szCs w:val="22"/>
        </w:rPr>
        <w:t xml:space="preserve"> </w:t>
      </w:r>
      <w:r w:rsidRPr="0090712F" w:rsidR="0064276A">
        <w:rPr>
          <w:sz w:val="22"/>
          <w:szCs w:val="22"/>
        </w:rPr>
        <w:t>quienes debían garantizar la transparencia, la gestión del riesgo y el cumplimiento de las normas de gobernanza corporativa. Sin embargo, diversas investigaciones posteriores señalaron que esta estructura no ejerció una supervisión efectiva sobre las decisiones estratégicas y financieras de la empresa, lo que permitió que problemas financieros se acumularan durante varios años</w:t>
      </w:r>
      <w:r w:rsidRPr="0090712F" w:rsidR="002D2C06">
        <w:rPr>
          <w:sz w:val="22"/>
          <w:szCs w:val="22"/>
        </w:rPr>
        <w:t xml:space="preserve"> (</w:t>
      </w:r>
      <w:r w:rsidRPr="0090712F" w:rsidR="002D2C06">
        <w:rPr>
          <w:rFonts w:eastAsiaTheme="minorEastAsia"/>
          <w:sz w:val="22"/>
          <w:szCs w:val="22"/>
        </w:rPr>
        <w:t xml:space="preserve">House </w:t>
      </w:r>
      <w:proofErr w:type="spellStart"/>
      <w:r w:rsidRPr="0090712F" w:rsidR="002D2C06">
        <w:rPr>
          <w:rFonts w:eastAsiaTheme="minorEastAsia"/>
          <w:sz w:val="22"/>
          <w:szCs w:val="22"/>
        </w:rPr>
        <w:t>of</w:t>
      </w:r>
      <w:proofErr w:type="spellEnd"/>
      <w:r w:rsidRPr="0090712F" w:rsidR="002D2C06">
        <w:rPr>
          <w:rFonts w:eastAsiaTheme="minorEastAsia"/>
          <w:sz w:val="22"/>
          <w:szCs w:val="22"/>
        </w:rPr>
        <w:t xml:space="preserve"> Commons (2018).</w:t>
      </w:r>
    </w:p>
    <w:p w:rsidR="0007074D" w:rsidP="001161DB" w:rsidRDefault="0055225A" w14:paraId="57C2465B" w14:textId="7BFDB025">
      <w:pPr>
        <w:spacing w:line="276" w:lineRule="auto"/>
        <w:jc w:val="both"/>
        <w:rPr>
          <w:sz w:val="22"/>
          <w:szCs w:val="22"/>
        </w:rPr>
      </w:pPr>
      <w:r w:rsidRPr="00CC7826">
        <w:rPr>
          <w:sz w:val="22"/>
          <w:szCs w:val="22"/>
        </w:rPr>
        <w:t xml:space="preserve">El Código de Gobernanza Corporativa </w:t>
      </w:r>
      <w:r w:rsidR="00A00771">
        <w:rPr>
          <w:sz w:val="22"/>
          <w:szCs w:val="22"/>
        </w:rPr>
        <w:t>debía se</w:t>
      </w:r>
      <w:r w:rsidR="004D279C">
        <w:rPr>
          <w:sz w:val="22"/>
          <w:szCs w:val="22"/>
        </w:rPr>
        <w:t>r</w:t>
      </w:r>
      <w:r w:rsidR="00A00771">
        <w:rPr>
          <w:sz w:val="22"/>
          <w:szCs w:val="22"/>
        </w:rPr>
        <w:t xml:space="preserve"> cumplido </w:t>
      </w:r>
      <w:r w:rsidR="00CE613C">
        <w:rPr>
          <w:sz w:val="22"/>
          <w:szCs w:val="22"/>
        </w:rPr>
        <w:t>por Ca</w:t>
      </w:r>
      <w:r w:rsidR="003A162E">
        <w:rPr>
          <w:sz w:val="22"/>
          <w:szCs w:val="22"/>
        </w:rPr>
        <w:t>rillion</w:t>
      </w:r>
      <w:r w:rsidR="004D279C">
        <w:rPr>
          <w:sz w:val="22"/>
          <w:szCs w:val="22"/>
        </w:rPr>
        <w:t xml:space="preserve"> y </w:t>
      </w:r>
      <w:r w:rsidRPr="00CC7826">
        <w:rPr>
          <w:sz w:val="22"/>
          <w:szCs w:val="22"/>
        </w:rPr>
        <w:t>establecía que los directores no ejecutivos deb</w:t>
      </w:r>
      <w:r w:rsidR="0020092D">
        <w:rPr>
          <w:sz w:val="22"/>
          <w:szCs w:val="22"/>
        </w:rPr>
        <w:t>ía</w:t>
      </w:r>
      <w:r w:rsidRPr="00CC7826">
        <w:rPr>
          <w:sz w:val="22"/>
          <w:szCs w:val="22"/>
        </w:rPr>
        <w:t>n examinar el desempeño de la dirección en el cumplimiento de los objetivos y metas acordados y supervisar los informes sobre el desempeño</w:t>
      </w:r>
      <w:r w:rsidR="000779FB">
        <w:rPr>
          <w:sz w:val="22"/>
          <w:szCs w:val="22"/>
        </w:rPr>
        <w:t>, además de</w:t>
      </w:r>
      <w:r w:rsidRPr="00CC7826">
        <w:rPr>
          <w:sz w:val="22"/>
          <w:szCs w:val="22"/>
        </w:rPr>
        <w:t xml:space="preserve"> asegurarse de la integridad de la información financiera y de que los controles financieros y los sistemas de gestión del riesgo </w:t>
      </w:r>
      <w:r w:rsidR="00AE16BA">
        <w:rPr>
          <w:sz w:val="22"/>
          <w:szCs w:val="22"/>
        </w:rPr>
        <w:t>de la compañía fueran</w:t>
      </w:r>
      <w:r w:rsidRPr="00CC7826">
        <w:rPr>
          <w:sz w:val="22"/>
          <w:szCs w:val="22"/>
        </w:rPr>
        <w:t xml:space="preserve"> sólidos y defendibles</w:t>
      </w:r>
      <w:r w:rsidR="00CC7826">
        <w:rPr>
          <w:sz w:val="22"/>
          <w:szCs w:val="22"/>
        </w:rPr>
        <w:t xml:space="preserve"> </w:t>
      </w:r>
      <w:r w:rsidRPr="0007074D" w:rsidR="0007074D">
        <w:rPr>
          <w:sz w:val="22"/>
          <w:szCs w:val="22"/>
        </w:rPr>
        <w:t>(</w:t>
      </w:r>
      <w:proofErr w:type="spellStart"/>
      <w:r w:rsidRPr="0007074D" w:rsidR="0007074D">
        <w:rPr>
          <w:sz w:val="22"/>
          <w:szCs w:val="22"/>
        </w:rPr>
        <w:t>Financial</w:t>
      </w:r>
      <w:proofErr w:type="spellEnd"/>
      <w:r w:rsidRPr="0007074D" w:rsidR="0007074D">
        <w:rPr>
          <w:sz w:val="22"/>
          <w:szCs w:val="22"/>
        </w:rPr>
        <w:t xml:space="preserve"> </w:t>
      </w:r>
      <w:proofErr w:type="spellStart"/>
      <w:r w:rsidRPr="0007074D" w:rsidR="0007074D">
        <w:rPr>
          <w:sz w:val="22"/>
          <w:szCs w:val="22"/>
        </w:rPr>
        <w:t>Reporting</w:t>
      </w:r>
      <w:proofErr w:type="spellEnd"/>
      <w:r w:rsidRPr="0007074D" w:rsidR="0007074D">
        <w:rPr>
          <w:sz w:val="22"/>
          <w:szCs w:val="22"/>
        </w:rPr>
        <w:t xml:space="preserve"> Council, 2016, sección A.4)</w:t>
      </w:r>
      <w:r w:rsidR="0007074D">
        <w:rPr>
          <w:sz w:val="22"/>
          <w:szCs w:val="22"/>
        </w:rPr>
        <w:t>.</w:t>
      </w:r>
    </w:p>
    <w:p w:rsidR="008A6D5E" w:rsidP="007C3AC6" w:rsidRDefault="00A27656" w14:paraId="0949697E" w14:textId="150ABB5B">
      <w:pPr>
        <w:spacing w:line="259" w:lineRule="auto"/>
        <w:jc w:val="both"/>
        <w:rPr>
          <w:sz w:val="22"/>
          <w:szCs w:val="22"/>
        </w:rPr>
      </w:pPr>
      <w:r w:rsidRPr="0090712F">
        <w:rPr>
          <w:sz w:val="22"/>
          <w:szCs w:val="22"/>
        </w:rPr>
        <w:t>E</w:t>
      </w:r>
      <w:r w:rsidRPr="0090712F" w:rsidR="00CF7EC9">
        <w:rPr>
          <w:sz w:val="22"/>
          <w:szCs w:val="22"/>
        </w:rPr>
        <w:t xml:space="preserve">l informe realizado </w:t>
      </w:r>
      <w:r w:rsidRPr="003A0689" w:rsidR="00CF7EC9">
        <w:rPr>
          <w:sz w:val="22"/>
          <w:szCs w:val="22"/>
        </w:rPr>
        <w:t xml:space="preserve">por la Cámara de los Comunes </w:t>
      </w:r>
      <w:r w:rsidRPr="0090712F" w:rsidR="00A40226">
        <w:rPr>
          <w:sz w:val="22"/>
          <w:szCs w:val="22"/>
        </w:rPr>
        <w:t>en</w:t>
      </w:r>
      <w:r w:rsidRPr="003A0689" w:rsidR="00CF7EC9">
        <w:rPr>
          <w:sz w:val="22"/>
          <w:szCs w:val="22"/>
        </w:rPr>
        <w:t xml:space="preserve"> </w:t>
      </w:r>
      <w:r w:rsidRPr="0090712F" w:rsidR="008A6D5E">
        <w:rPr>
          <w:sz w:val="22"/>
          <w:szCs w:val="22"/>
        </w:rPr>
        <w:t>2018</w:t>
      </w:r>
      <w:r w:rsidRPr="0090712F" w:rsidR="00A40226">
        <w:rPr>
          <w:sz w:val="22"/>
          <w:szCs w:val="22"/>
        </w:rPr>
        <w:t xml:space="preserve"> </w:t>
      </w:r>
      <w:r w:rsidRPr="0090712F" w:rsidR="009C3FC9">
        <w:rPr>
          <w:sz w:val="22"/>
          <w:szCs w:val="22"/>
        </w:rPr>
        <w:t xml:space="preserve">evidenció </w:t>
      </w:r>
      <w:r w:rsidRPr="0090712F" w:rsidR="003235EC">
        <w:rPr>
          <w:sz w:val="22"/>
          <w:szCs w:val="22"/>
        </w:rPr>
        <w:t>en</w:t>
      </w:r>
      <w:r w:rsidRPr="0090712F" w:rsidR="009C3FC9">
        <w:rPr>
          <w:sz w:val="22"/>
          <w:szCs w:val="22"/>
        </w:rPr>
        <w:t xml:space="preserve"> </w:t>
      </w:r>
      <w:r w:rsidRPr="0090712F" w:rsidR="003235EC">
        <w:rPr>
          <w:sz w:val="22"/>
          <w:szCs w:val="22"/>
        </w:rPr>
        <w:t>l</w:t>
      </w:r>
      <w:r w:rsidRPr="0090712F" w:rsidR="002B2486">
        <w:rPr>
          <w:sz w:val="22"/>
          <w:szCs w:val="22"/>
        </w:rPr>
        <w:t xml:space="preserve">as actas de una discusión del consejo de administración de Carillion </w:t>
      </w:r>
      <w:r w:rsidRPr="0090712F" w:rsidR="00F4484C">
        <w:rPr>
          <w:sz w:val="22"/>
          <w:szCs w:val="22"/>
        </w:rPr>
        <w:t xml:space="preserve">en 2017 </w:t>
      </w:r>
      <w:r w:rsidRPr="0090712F" w:rsidR="00536C30">
        <w:rPr>
          <w:sz w:val="22"/>
          <w:szCs w:val="22"/>
        </w:rPr>
        <w:t xml:space="preserve">que </w:t>
      </w:r>
      <w:r w:rsidRPr="0090712F" w:rsidR="00F4484C">
        <w:rPr>
          <w:sz w:val="22"/>
          <w:szCs w:val="22"/>
        </w:rPr>
        <w:t>se identifica</w:t>
      </w:r>
      <w:r w:rsidRPr="0090712F" w:rsidR="002B2486">
        <w:rPr>
          <w:sz w:val="22"/>
          <w:szCs w:val="22"/>
        </w:rPr>
        <w:t xml:space="preserve"> “una cultura de hacer que los números cuadren” (alcanzar objetivos a cualquier costo) y una “ceguera voluntaria” entre el personal con muchos años en la empresa respecto a lo que estaba ocurriendo en el negocio. El consejo concluyó </w:t>
      </w:r>
      <w:r w:rsidRPr="0090712F" w:rsidR="00536C30">
        <w:rPr>
          <w:sz w:val="22"/>
          <w:szCs w:val="22"/>
        </w:rPr>
        <w:t xml:space="preserve">(en ese momento) </w:t>
      </w:r>
      <w:r w:rsidRPr="0090712F" w:rsidR="002B2486">
        <w:rPr>
          <w:sz w:val="22"/>
          <w:szCs w:val="22"/>
        </w:rPr>
        <w:t>que la cultura de la organización requería un “cambio radical”</w:t>
      </w:r>
      <w:r w:rsidRPr="0090712F" w:rsidR="008A6D5E">
        <w:rPr>
          <w:sz w:val="22"/>
          <w:szCs w:val="22"/>
        </w:rPr>
        <w:t xml:space="preserve">. </w:t>
      </w:r>
      <w:r w:rsidRPr="0090712F" w:rsidR="008516F5">
        <w:rPr>
          <w:sz w:val="22"/>
          <w:szCs w:val="22"/>
        </w:rPr>
        <w:t xml:space="preserve">Por su parte, </w:t>
      </w:r>
      <w:r w:rsidRPr="0090712F" w:rsidR="00197FBB">
        <w:rPr>
          <w:sz w:val="22"/>
          <w:szCs w:val="22"/>
        </w:rPr>
        <w:t>EY, nombrada el 14 de julio para apoyar una revisión estratégica de la empresa, identificó rápidamente una “falta de responsabilidad […] profesionalización y experiencia”, una “cultura orientada hacia el interior” y una “cultura de incumplimiento”</w:t>
      </w:r>
      <w:r w:rsidRPr="0090712F" w:rsidR="008A6D5E">
        <w:rPr>
          <w:sz w:val="22"/>
          <w:szCs w:val="22"/>
        </w:rPr>
        <w:t xml:space="preserve"> (Carillion </w:t>
      </w:r>
      <w:proofErr w:type="spellStart"/>
      <w:r w:rsidRPr="0090712F" w:rsidR="008A6D5E">
        <w:rPr>
          <w:sz w:val="22"/>
          <w:szCs w:val="22"/>
        </w:rPr>
        <w:t>plc</w:t>
      </w:r>
      <w:proofErr w:type="spellEnd"/>
      <w:r w:rsidRPr="0090712F" w:rsidR="008A6D5E">
        <w:rPr>
          <w:sz w:val="22"/>
          <w:szCs w:val="22"/>
        </w:rPr>
        <w:t xml:space="preserve">, 2017). </w:t>
      </w:r>
    </w:p>
    <w:p w:rsidR="00336DE8" w:rsidP="004159DA" w:rsidRDefault="00235997" w14:paraId="5ED69AD1" w14:textId="06B0F7B1">
      <w:pPr>
        <w:spacing w:after="0" w:line="276" w:lineRule="auto"/>
        <w:jc w:val="both"/>
        <w:rPr>
          <w:sz w:val="22"/>
          <w:szCs w:val="22"/>
        </w:rPr>
      </w:pPr>
      <w:r>
        <w:rPr>
          <w:sz w:val="22"/>
          <w:szCs w:val="22"/>
        </w:rPr>
        <w:t xml:space="preserve">Con relación </w:t>
      </w:r>
      <w:r w:rsidR="004620A8">
        <w:rPr>
          <w:sz w:val="22"/>
          <w:szCs w:val="22"/>
        </w:rPr>
        <w:t>a la cultura corporativa,</w:t>
      </w:r>
      <w:r w:rsidR="00FA0893">
        <w:rPr>
          <w:sz w:val="22"/>
          <w:szCs w:val="22"/>
        </w:rPr>
        <w:t xml:space="preserve"> Carillion </w:t>
      </w:r>
      <w:r w:rsidR="00080E02">
        <w:rPr>
          <w:sz w:val="22"/>
          <w:szCs w:val="22"/>
        </w:rPr>
        <w:t xml:space="preserve">debía cumplir con </w:t>
      </w:r>
      <w:r w:rsidRPr="00235997">
        <w:rPr>
          <w:sz w:val="22"/>
          <w:szCs w:val="22"/>
        </w:rPr>
        <w:t>normas de buenas prácticas</w:t>
      </w:r>
      <w:r w:rsidR="007610DF">
        <w:rPr>
          <w:sz w:val="22"/>
          <w:szCs w:val="22"/>
        </w:rPr>
        <w:t xml:space="preserve"> </w:t>
      </w:r>
      <w:r w:rsidR="005773FF">
        <w:rPr>
          <w:sz w:val="22"/>
          <w:szCs w:val="22"/>
        </w:rPr>
        <w:t xml:space="preserve">o </w:t>
      </w:r>
      <w:r w:rsidRPr="00F81583" w:rsidR="00F81583">
        <w:rPr>
          <w:i/>
          <w:iCs/>
          <w:sz w:val="22"/>
          <w:szCs w:val="22"/>
        </w:rPr>
        <w:t>“Payment Codes”</w:t>
      </w:r>
      <w:r w:rsidR="00F81583">
        <w:rPr>
          <w:sz w:val="22"/>
          <w:szCs w:val="22"/>
        </w:rPr>
        <w:t xml:space="preserve"> </w:t>
      </w:r>
      <w:r w:rsidRPr="00235997">
        <w:rPr>
          <w:sz w:val="22"/>
          <w:szCs w:val="22"/>
        </w:rPr>
        <w:t>en temas de gobernanza corporativa y pago a proveedores</w:t>
      </w:r>
      <w:r w:rsidR="005773FF">
        <w:rPr>
          <w:sz w:val="22"/>
          <w:szCs w:val="22"/>
        </w:rPr>
        <w:t>. P</w:t>
      </w:r>
      <w:r w:rsidR="00F52240">
        <w:rPr>
          <w:sz w:val="22"/>
          <w:szCs w:val="22"/>
        </w:rPr>
        <w:t xml:space="preserve">or un lado, el </w:t>
      </w:r>
      <w:r w:rsidRPr="009E0E85" w:rsidR="00F52240">
        <w:rPr>
          <w:i/>
          <w:iCs/>
          <w:sz w:val="22"/>
          <w:szCs w:val="22"/>
        </w:rPr>
        <w:t xml:space="preserve">Código de Gobernanza del </w:t>
      </w:r>
      <w:proofErr w:type="spellStart"/>
      <w:r w:rsidRPr="009E0E85" w:rsidR="00F52240">
        <w:rPr>
          <w:i/>
          <w:iCs/>
          <w:sz w:val="22"/>
          <w:szCs w:val="22"/>
        </w:rPr>
        <w:t>Financial</w:t>
      </w:r>
      <w:proofErr w:type="spellEnd"/>
      <w:r w:rsidRPr="009E0E85" w:rsidR="00F52240">
        <w:rPr>
          <w:i/>
          <w:iCs/>
          <w:sz w:val="22"/>
          <w:szCs w:val="22"/>
        </w:rPr>
        <w:t xml:space="preserve"> </w:t>
      </w:r>
      <w:proofErr w:type="spellStart"/>
      <w:r w:rsidRPr="009E0E85" w:rsidR="00F52240">
        <w:rPr>
          <w:i/>
          <w:iCs/>
          <w:sz w:val="22"/>
          <w:szCs w:val="22"/>
        </w:rPr>
        <w:t>Reporting</w:t>
      </w:r>
      <w:proofErr w:type="spellEnd"/>
      <w:r w:rsidRPr="009E0E85" w:rsidR="00F52240">
        <w:rPr>
          <w:i/>
          <w:iCs/>
          <w:sz w:val="22"/>
          <w:szCs w:val="22"/>
        </w:rPr>
        <w:t xml:space="preserve"> Council (FRC)</w:t>
      </w:r>
      <w:r w:rsidR="00F52240">
        <w:rPr>
          <w:sz w:val="22"/>
          <w:szCs w:val="22"/>
        </w:rPr>
        <w:t xml:space="preserve"> </w:t>
      </w:r>
      <w:r w:rsidR="009E0E85">
        <w:rPr>
          <w:sz w:val="22"/>
          <w:szCs w:val="22"/>
        </w:rPr>
        <w:t xml:space="preserve">que </w:t>
      </w:r>
      <w:r w:rsidRPr="009E0E85" w:rsidR="009E0E85">
        <w:rPr>
          <w:sz w:val="22"/>
          <w:szCs w:val="22"/>
        </w:rPr>
        <w:t>busca</w:t>
      </w:r>
      <w:r w:rsidR="00AE747D">
        <w:rPr>
          <w:sz w:val="22"/>
          <w:szCs w:val="22"/>
        </w:rPr>
        <w:t>ba</w:t>
      </w:r>
      <w:r w:rsidRPr="009E0E85" w:rsidR="009E0E85">
        <w:rPr>
          <w:sz w:val="22"/>
          <w:szCs w:val="22"/>
        </w:rPr>
        <w:t xml:space="preserve"> asegurar que la empresa </w:t>
      </w:r>
      <w:r w:rsidR="00CC05F4">
        <w:rPr>
          <w:sz w:val="22"/>
          <w:szCs w:val="22"/>
        </w:rPr>
        <w:t xml:space="preserve">se </w:t>
      </w:r>
      <w:r w:rsidR="00AE747D">
        <w:rPr>
          <w:sz w:val="22"/>
          <w:szCs w:val="22"/>
        </w:rPr>
        <w:t>administrara</w:t>
      </w:r>
      <w:r w:rsidRPr="009E0E85" w:rsidR="009E0E85">
        <w:rPr>
          <w:sz w:val="22"/>
          <w:szCs w:val="22"/>
        </w:rPr>
        <w:t xml:space="preserve"> de forma responsable, ética y sostenible</w:t>
      </w:r>
      <w:r w:rsidR="00887389">
        <w:rPr>
          <w:sz w:val="22"/>
          <w:szCs w:val="22"/>
        </w:rPr>
        <w:t xml:space="preserve"> bajo los principios de responsabilidad, transparencia, </w:t>
      </w:r>
      <w:r w:rsidR="009E5095">
        <w:rPr>
          <w:sz w:val="22"/>
          <w:szCs w:val="22"/>
        </w:rPr>
        <w:t>integridad y éxito sostenibl</w:t>
      </w:r>
      <w:r w:rsidR="00DE4A17">
        <w:rPr>
          <w:sz w:val="22"/>
          <w:szCs w:val="22"/>
        </w:rPr>
        <w:t>e,</w:t>
      </w:r>
      <w:r w:rsidR="009E0E85">
        <w:rPr>
          <w:sz w:val="22"/>
          <w:szCs w:val="22"/>
        </w:rPr>
        <w:t xml:space="preserve"> y </w:t>
      </w:r>
      <w:r w:rsidR="00DE4A17">
        <w:rPr>
          <w:sz w:val="22"/>
          <w:szCs w:val="22"/>
        </w:rPr>
        <w:t xml:space="preserve">por el otro, </w:t>
      </w:r>
      <w:r w:rsidR="0074264E">
        <w:rPr>
          <w:sz w:val="22"/>
          <w:szCs w:val="22"/>
        </w:rPr>
        <w:t xml:space="preserve">el </w:t>
      </w:r>
      <w:proofErr w:type="spellStart"/>
      <w:r w:rsidRPr="0074264E" w:rsidR="0074264E">
        <w:rPr>
          <w:i/>
          <w:iCs/>
          <w:sz w:val="22"/>
          <w:szCs w:val="22"/>
        </w:rPr>
        <w:t>Government</w:t>
      </w:r>
      <w:proofErr w:type="spellEnd"/>
      <w:r w:rsidRPr="0074264E" w:rsidR="0074264E">
        <w:rPr>
          <w:i/>
          <w:iCs/>
          <w:sz w:val="22"/>
          <w:szCs w:val="22"/>
        </w:rPr>
        <w:t xml:space="preserve"> </w:t>
      </w:r>
      <w:proofErr w:type="spellStart"/>
      <w:r w:rsidRPr="0074264E" w:rsidR="0074264E">
        <w:rPr>
          <w:i/>
          <w:iCs/>
          <w:sz w:val="22"/>
          <w:szCs w:val="22"/>
        </w:rPr>
        <w:t>Prompt</w:t>
      </w:r>
      <w:proofErr w:type="spellEnd"/>
      <w:r w:rsidRPr="0074264E" w:rsidR="0074264E">
        <w:rPr>
          <w:i/>
          <w:iCs/>
          <w:sz w:val="22"/>
          <w:szCs w:val="22"/>
        </w:rPr>
        <w:t xml:space="preserve"> Payment Code (PPC)</w:t>
      </w:r>
      <w:r w:rsidR="00017149">
        <w:rPr>
          <w:i/>
          <w:iCs/>
          <w:sz w:val="22"/>
          <w:szCs w:val="22"/>
        </w:rPr>
        <w:t xml:space="preserve"> </w:t>
      </w:r>
      <w:r w:rsidRPr="00017149" w:rsidR="00017149">
        <w:rPr>
          <w:sz w:val="22"/>
          <w:szCs w:val="22"/>
        </w:rPr>
        <w:t>relacionado con buenas prácticas para el pago de proveedor</w:t>
      </w:r>
      <w:r w:rsidR="00860E82">
        <w:rPr>
          <w:sz w:val="22"/>
          <w:szCs w:val="22"/>
        </w:rPr>
        <w:t>e</w:t>
      </w:r>
      <w:r w:rsidRPr="00017149" w:rsidR="00017149">
        <w:rPr>
          <w:sz w:val="22"/>
          <w:szCs w:val="22"/>
        </w:rPr>
        <w:t>s</w:t>
      </w:r>
      <w:r w:rsidR="007553F8">
        <w:rPr>
          <w:sz w:val="22"/>
          <w:szCs w:val="22"/>
        </w:rPr>
        <w:t xml:space="preserve">, donde </w:t>
      </w:r>
      <w:r w:rsidR="007B3E36">
        <w:rPr>
          <w:sz w:val="22"/>
          <w:szCs w:val="22"/>
        </w:rPr>
        <w:t xml:space="preserve">se comprometía </w:t>
      </w:r>
      <w:r w:rsidRPr="007B3E36" w:rsidR="007B3E36">
        <w:rPr>
          <w:sz w:val="22"/>
          <w:szCs w:val="22"/>
        </w:rPr>
        <w:t>a pagar a tiempo a los proveedores, evitar retrasos injustificados en los pagos, tener procedimientos claros y justos para pagar facturas y mantener relaciones comerciales responsables.</w:t>
      </w:r>
      <w:r w:rsidR="00F15F3D">
        <w:rPr>
          <w:sz w:val="22"/>
          <w:szCs w:val="22"/>
        </w:rPr>
        <w:t xml:space="preserve"> Debe saberse que la</w:t>
      </w:r>
      <w:r w:rsidR="00E23803">
        <w:rPr>
          <w:sz w:val="22"/>
          <w:szCs w:val="22"/>
        </w:rPr>
        <w:t>s investigaciones y estudios posteriores al colapso, se evidenció que la</w:t>
      </w:r>
      <w:r w:rsidR="00F15F3D">
        <w:rPr>
          <w:sz w:val="22"/>
          <w:szCs w:val="22"/>
        </w:rPr>
        <w:t xml:space="preserve"> multinacional ignoró </w:t>
      </w:r>
      <w:r w:rsidRPr="004D57E2" w:rsidR="00F15F3D">
        <w:t xml:space="preserve">las </w:t>
      </w:r>
      <w:r w:rsidRPr="004D57E2" w:rsidR="00F15F3D">
        <w:rPr>
          <w:sz w:val="22"/>
          <w:szCs w:val="22"/>
        </w:rPr>
        <w:t xml:space="preserve">señales tempranas de advertencia ignoradas sobre el incumplimiento de los </w:t>
      </w:r>
      <w:r w:rsidRPr="004D57E2" w:rsidR="00F15F3D">
        <w:rPr>
          <w:sz w:val="20"/>
          <w:szCs w:val="20"/>
        </w:rPr>
        <w:t>códigos</w:t>
      </w:r>
      <w:r w:rsidRPr="00BE6F05" w:rsidR="00BE6F05">
        <w:rPr>
          <w:sz w:val="22"/>
          <w:szCs w:val="22"/>
        </w:rPr>
        <w:t xml:space="preserve"> y este</w:t>
      </w:r>
      <w:r w:rsidRPr="004D57E2" w:rsidR="00BE6F05">
        <w:rPr>
          <w:sz w:val="22"/>
          <w:szCs w:val="22"/>
        </w:rPr>
        <w:t xml:space="preserve"> proceso condujo a la </w:t>
      </w:r>
      <w:r w:rsidR="003A1ADD">
        <w:rPr>
          <w:sz w:val="22"/>
          <w:szCs w:val="22"/>
        </w:rPr>
        <w:t xml:space="preserve">cultura organizacional hacia la </w:t>
      </w:r>
      <w:r w:rsidRPr="004D57E2" w:rsidR="00BE6F05">
        <w:rPr>
          <w:sz w:val="22"/>
          <w:szCs w:val="22"/>
        </w:rPr>
        <w:lastRenderedPageBreak/>
        <w:t>adopción de prácticas desviadas que con el tiempo resultaron en el fracaso</w:t>
      </w:r>
      <w:r w:rsidR="00BD1080">
        <w:rPr>
          <w:sz w:val="22"/>
          <w:szCs w:val="22"/>
        </w:rPr>
        <w:t>.</w:t>
      </w:r>
      <w:r w:rsidR="00465E81">
        <w:rPr>
          <w:sz w:val="22"/>
          <w:szCs w:val="22"/>
        </w:rPr>
        <w:t xml:space="preserve"> </w:t>
      </w:r>
      <w:r w:rsidRPr="00182B73" w:rsidR="00CE47E8">
        <w:rPr>
          <w:sz w:val="22"/>
          <w:szCs w:val="22"/>
        </w:rPr>
        <w:t>Lo anterior, se puedo evidenciar en el</w:t>
      </w:r>
      <w:r w:rsidRPr="004D57E2" w:rsidR="00CE47E8">
        <w:rPr>
          <w:sz w:val="22"/>
          <w:szCs w:val="22"/>
        </w:rPr>
        <w:t xml:space="preserve"> estudio sobre los informes empresariales publicados desde 2001, los informes parlamentarios que contienen el análisis </w:t>
      </w:r>
      <w:proofErr w:type="spellStart"/>
      <w:r w:rsidRPr="004D57E2" w:rsidR="00CE47E8">
        <w:rPr>
          <w:sz w:val="22"/>
          <w:szCs w:val="22"/>
        </w:rPr>
        <w:t>post-mortem</w:t>
      </w:r>
      <w:proofErr w:type="spellEnd"/>
      <w:r w:rsidRPr="004D57E2" w:rsidR="00CE47E8">
        <w:rPr>
          <w:sz w:val="22"/>
          <w:szCs w:val="22"/>
        </w:rPr>
        <w:t xml:space="preserve"> del colapso, y el volumen de noticias tanto antes como después de la liquidación</w:t>
      </w:r>
      <w:r w:rsidRPr="006C2218" w:rsidR="006C2218">
        <w:rPr>
          <w:sz w:val="22"/>
          <w:szCs w:val="22"/>
        </w:rPr>
        <w:t xml:space="preserve"> (</w:t>
      </w:r>
      <w:r w:rsidRPr="00A23C66" w:rsidR="006C2218">
        <w:rPr>
          <w:sz w:val="22"/>
          <w:szCs w:val="22"/>
        </w:rPr>
        <w:t>Taylor &amp; Francis</w:t>
      </w:r>
      <w:r w:rsidRPr="006C2218" w:rsidR="006C2218">
        <w:rPr>
          <w:sz w:val="22"/>
          <w:szCs w:val="22"/>
        </w:rPr>
        <w:t xml:space="preserve">, </w:t>
      </w:r>
      <w:r w:rsidRPr="00A23C66" w:rsidR="006C2218">
        <w:rPr>
          <w:sz w:val="22"/>
          <w:szCs w:val="22"/>
        </w:rPr>
        <w:t>2020</w:t>
      </w:r>
      <w:r w:rsidRPr="006C2218" w:rsidR="006C2218">
        <w:rPr>
          <w:sz w:val="22"/>
          <w:szCs w:val="22"/>
        </w:rPr>
        <w:t>)</w:t>
      </w:r>
    </w:p>
    <w:p w:rsidRPr="00CE0AAD" w:rsidR="00A97241" w:rsidP="00A97241" w:rsidRDefault="00A97241" w14:paraId="7576EC49" w14:textId="77777777">
      <w:pPr>
        <w:spacing w:after="0" w:line="240" w:lineRule="auto"/>
        <w:jc w:val="both"/>
        <w:rPr>
          <w:sz w:val="22"/>
          <w:szCs w:val="22"/>
        </w:rPr>
      </w:pPr>
    </w:p>
    <w:p w:rsidR="0017757F" w:rsidP="004159DA" w:rsidRDefault="00B866F9" w14:paraId="3D1F0E7A" w14:textId="6AFAD3BD">
      <w:pPr>
        <w:spacing w:line="276" w:lineRule="auto"/>
        <w:jc w:val="both"/>
        <w:rPr>
          <w:sz w:val="22"/>
          <w:szCs w:val="22"/>
        </w:rPr>
      </w:pPr>
      <w:r w:rsidRPr="0090712F">
        <w:rPr>
          <w:sz w:val="22"/>
          <w:szCs w:val="22"/>
        </w:rPr>
        <w:t>Con relación al proceso de toma de decisiones dentro de Car</w:t>
      </w:r>
      <w:r w:rsidRPr="0090712F" w:rsidR="00344CBE">
        <w:rPr>
          <w:sz w:val="22"/>
          <w:szCs w:val="22"/>
        </w:rPr>
        <w:t>illion</w:t>
      </w:r>
      <w:r w:rsidRPr="0090712F">
        <w:rPr>
          <w:sz w:val="22"/>
          <w:szCs w:val="22"/>
        </w:rPr>
        <w:t xml:space="preserve"> estuvo fuertemente orientado hacia la expansión y la obtención de nuevos contratos, especialmente en proyectos de infraestructura pública. A pesar de las señales de alerta sobre el deterioro financiero como el aumento de la deuda, el debilitamiento del flujo de caja y las advertencias del director financiero</w:t>
      </w:r>
      <w:r w:rsidRPr="0090712F" w:rsidR="007F1D15">
        <w:rPr>
          <w:sz w:val="22"/>
          <w:szCs w:val="22"/>
        </w:rPr>
        <w:t>,</w:t>
      </w:r>
      <w:r w:rsidRPr="0090712F">
        <w:rPr>
          <w:sz w:val="22"/>
          <w:szCs w:val="22"/>
        </w:rPr>
        <w:t xml:space="preserve"> continuaron priorizando el crecimiento y la adjudicación de nuevos proyectos. En la práctica, esto significó que las advertencias internas y externas no se tradujeron en cambios significativos en la estrategia empresarial, lo que contribuyó a que los riesgos se intensificaran.</w:t>
      </w:r>
    </w:p>
    <w:p w:rsidRPr="007B3E36" w:rsidR="0017757F" w:rsidP="004159DA" w:rsidRDefault="0017757F" w14:paraId="797F9E86" w14:textId="77777777">
      <w:pPr>
        <w:spacing w:line="276" w:lineRule="auto"/>
        <w:jc w:val="both"/>
        <w:rPr>
          <w:sz w:val="22"/>
          <w:szCs w:val="22"/>
        </w:rPr>
      </w:pPr>
      <w:r>
        <w:rPr>
          <w:sz w:val="22"/>
          <w:szCs w:val="22"/>
        </w:rPr>
        <w:t>Un</w:t>
      </w:r>
      <w:r w:rsidRPr="00CE0AAD">
        <w:rPr>
          <w:sz w:val="22"/>
          <w:szCs w:val="22"/>
        </w:rPr>
        <w:t xml:space="preserve"> informe sobre el colapso de Carillion elaborado por dos comités parlamentarios criticó las acciones de los directores, auditores y organismos reguladores como la principal razón detrás del colapso (House </w:t>
      </w:r>
      <w:proofErr w:type="spellStart"/>
      <w:r w:rsidRPr="00CE0AAD">
        <w:rPr>
          <w:sz w:val="22"/>
          <w:szCs w:val="22"/>
        </w:rPr>
        <w:t>of</w:t>
      </w:r>
      <w:proofErr w:type="spellEnd"/>
      <w:r w:rsidRPr="00CE0AAD">
        <w:rPr>
          <w:sz w:val="22"/>
          <w:szCs w:val="22"/>
        </w:rPr>
        <w:t xml:space="preserve"> Commons, 2018). Lo que parece evidente es que los sistemas de control no evitaron el colapso de Carillion; sin embargo, en retrospectiva, la razón principal se remonta a una década antes de la caída real de la organización (Smyth, 2018),  </w:t>
      </w:r>
    </w:p>
    <w:p w:rsidRPr="00467F48" w:rsidR="004C55C1" w:rsidP="004159DA" w:rsidRDefault="0039449D" w14:paraId="62F7F152" w14:textId="5AA21D10">
      <w:pPr>
        <w:spacing w:line="276" w:lineRule="auto"/>
        <w:jc w:val="both"/>
        <w:rPr>
          <w:sz w:val="22"/>
          <w:szCs w:val="22"/>
        </w:rPr>
      </w:pPr>
      <w:r w:rsidRPr="00467F48">
        <w:rPr>
          <w:sz w:val="22"/>
          <w:szCs w:val="22"/>
        </w:rPr>
        <w:t xml:space="preserve">Los procesos descritos no ocurrieron de forma abrupta, sino </w:t>
      </w:r>
      <w:r w:rsidRPr="00467F48" w:rsidR="00235253">
        <w:rPr>
          <w:sz w:val="22"/>
          <w:szCs w:val="22"/>
        </w:rPr>
        <w:t xml:space="preserve">que se fueron desarrollando de forma gradual </w:t>
      </w:r>
      <w:r w:rsidRPr="00467F48">
        <w:rPr>
          <w:sz w:val="22"/>
          <w:szCs w:val="22"/>
        </w:rPr>
        <w:t xml:space="preserve">a lo largo de los años. Prácticas </w:t>
      </w:r>
      <w:r w:rsidRPr="00467F48" w:rsidR="009B2A48">
        <w:rPr>
          <w:sz w:val="22"/>
          <w:szCs w:val="22"/>
        </w:rPr>
        <w:t xml:space="preserve">corporativas </w:t>
      </w:r>
      <w:r w:rsidRPr="00467F48">
        <w:rPr>
          <w:sz w:val="22"/>
          <w:szCs w:val="22"/>
        </w:rPr>
        <w:t>que al principio probablemente habrían generado reacciones dentro de la empresa, o incluso resistencia, fueron impulsadas</w:t>
      </w:r>
      <w:r w:rsidRPr="00467F48" w:rsidR="00E71DD6">
        <w:rPr>
          <w:sz w:val="22"/>
          <w:szCs w:val="22"/>
        </w:rPr>
        <w:t>, mantenidas y aceptadas</w:t>
      </w:r>
      <w:r w:rsidRPr="00467F48">
        <w:rPr>
          <w:sz w:val="22"/>
          <w:szCs w:val="22"/>
        </w:rPr>
        <w:t xml:space="preserve"> con el tiempo </w:t>
      </w:r>
      <w:r w:rsidRPr="00467F48" w:rsidR="00E71DD6">
        <w:rPr>
          <w:sz w:val="22"/>
          <w:szCs w:val="22"/>
        </w:rPr>
        <w:t>incorporándolas</w:t>
      </w:r>
      <w:r w:rsidRPr="00467F48">
        <w:rPr>
          <w:sz w:val="22"/>
          <w:szCs w:val="22"/>
        </w:rPr>
        <w:t xml:space="preserve"> en la forma habitual de hacer las cosas.</w:t>
      </w:r>
      <w:r w:rsidRPr="00467F48" w:rsidR="007A46CD">
        <w:rPr>
          <w:sz w:val="22"/>
          <w:szCs w:val="22"/>
        </w:rPr>
        <w:t xml:space="preserve"> Pinto (2014) señala que la normalización de la desviación es típicamente el resultado de una serie de decisiones deliberadas que se han institucionalizado con el tiempo. La naturaleza de la desviación normalizada es gradual y se basa en la acumulación (y en la aclimatación organizacional) a una serie de decisiones que, individualmente, pueden no señalar desastres, pero que, tomadas colectivamente y aplicadas de manera continua, eventualmente conducirán a graves repercusiones (Starbuck y </w:t>
      </w:r>
      <w:proofErr w:type="spellStart"/>
      <w:r w:rsidRPr="00467F48" w:rsidR="007A46CD">
        <w:rPr>
          <w:sz w:val="22"/>
          <w:szCs w:val="22"/>
        </w:rPr>
        <w:t>Farjoun</w:t>
      </w:r>
      <w:proofErr w:type="spellEnd"/>
      <w:r w:rsidRPr="00467F48" w:rsidR="007A46CD">
        <w:rPr>
          <w:sz w:val="22"/>
          <w:szCs w:val="22"/>
        </w:rPr>
        <w:t>, 2005). De hecho, el ajuste progresivo reduce las probabilidades de éxito y continúa hasta que ocurre una falla grave (Starbuck y Milliken, 1988).</w:t>
      </w:r>
    </w:p>
    <w:p w:rsidRPr="00467F48" w:rsidR="00192B05" w:rsidP="004159DA" w:rsidRDefault="00192B05" w14:paraId="0FCFE232" w14:textId="09BFBB43">
      <w:pPr>
        <w:spacing w:line="276" w:lineRule="auto"/>
        <w:jc w:val="both"/>
        <w:rPr>
          <w:sz w:val="22"/>
          <w:szCs w:val="22"/>
        </w:rPr>
      </w:pPr>
      <w:r w:rsidRPr="00467F48">
        <w:rPr>
          <w:sz w:val="22"/>
          <w:szCs w:val="22"/>
        </w:rPr>
        <w:t>El</w:t>
      </w:r>
      <w:r w:rsidRPr="00467F48" w:rsidR="00657DD7">
        <w:rPr>
          <w:sz w:val="22"/>
          <w:szCs w:val="22"/>
        </w:rPr>
        <w:t xml:space="preserve"> </w:t>
      </w:r>
      <w:r w:rsidRPr="00467F48">
        <w:rPr>
          <w:sz w:val="22"/>
          <w:szCs w:val="22"/>
        </w:rPr>
        <w:t>colapso</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Carillion</w:t>
      </w:r>
      <w:r w:rsidRPr="00467F48" w:rsidR="00657DD7">
        <w:rPr>
          <w:sz w:val="22"/>
          <w:szCs w:val="22"/>
        </w:rPr>
        <w:t xml:space="preserve"> </w:t>
      </w:r>
      <w:r w:rsidRPr="00467F48">
        <w:rPr>
          <w:sz w:val="22"/>
          <w:szCs w:val="22"/>
        </w:rPr>
        <w:t>comenzó</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hacerse</w:t>
      </w:r>
      <w:r w:rsidRPr="00467F48" w:rsidR="00657DD7">
        <w:rPr>
          <w:sz w:val="22"/>
          <w:szCs w:val="22"/>
        </w:rPr>
        <w:t xml:space="preserve"> </w:t>
      </w:r>
      <w:r w:rsidRPr="00467F48">
        <w:rPr>
          <w:sz w:val="22"/>
          <w:szCs w:val="22"/>
        </w:rPr>
        <w:t>evidente</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julio</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2017,</w:t>
      </w:r>
      <w:r w:rsidRPr="00467F48" w:rsidR="00657DD7">
        <w:rPr>
          <w:sz w:val="22"/>
          <w:szCs w:val="22"/>
        </w:rPr>
        <w:t xml:space="preserve"> </w:t>
      </w:r>
      <w:r w:rsidRPr="00467F48">
        <w:rPr>
          <w:sz w:val="22"/>
          <w:szCs w:val="22"/>
        </w:rPr>
        <w:t>cuando</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empresa</w:t>
      </w:r>
      <w:r w:rsidRPr="00467F48" w:rsidR="00657DD7">
        <w:rPr>
          <w:sz w:val="22"/>
          <w:szCs w:val="22"/>
        </w:rPr>
        <w:t xml:space="preserve"> </w:t>
      </w:r>
      <w:r w:rsidRPr="00467F48">
        <w:rPr>
          <w:sz w:val="22"/>
          <w:szCs w:val="22"/>
        </w:rPr>
        <w:t>anunció</w:t>
      </w:r>
      <w:r w:rsidRPr="00467F48" w:rsidR="00657DD7">
        <w:rPr>
          <w:sz w:val="22"/>
          <w:szCs w:val="22"/>
        </w:rPr>
        <w:t xml:space="preserve"> </w:t>
      </w:r>
      <w:r w:rsidRPr="00467F48">
        <w:rPr>
          <w:sz w:val="22"/>
          <w:szCs w:val="22"/>
        </w:rPr>
        <w:t>que</w:t>
      </w:r>
      <w:r w:rsidRPr="00467F48" w:rsidR="00657DD7">
        <w:rPr>
          <w:sz w:val="22"/>
          <w:szCs w:val="22"/>
        </w:rPr>
        <w:t xml:space="preserve"> </w:t>
      </w:r>
      <w:r w:rsidRPr="00467F48">
        <w:rPr>
          <w:sz w:val="22"/>
          <w:szCs w:val="22"/>
        </w:rPr>
        <w:t>sus</w:t>
      </w:r>
      <w:r w:rsidRPr="00467F48" w:rsidR="00657DD7">
        <w:rPr>
          <w:sz w:val="22"/>
          <w:szCs w:val="22"/>
        </w:rPr>
        <w:t xml:space="preserve"> </w:t>
      </w:r>
      <w:r w:rsidRPr="00467F48">
        <w:rPr>
          <w:sz w:val="22"/>
          <w:szCs w:val="22"/>
        </w:rPr>
        <w:t>beneficios</w:t>
      </w:r>
      <w:r w:rsidRPr="00467F48" w:rsidR="00657DD7">
        <w:rPr>
          <w:sz w:val="22"/>
          <w:szCs w:val="22"/>
        </w:rPr>
        <w:t xml:space="preserve"> </w:t>
      </w:r>
      <w:r w:rsidRPr="00467F48">
        <w:rPr>
          <w:sz w:val="22"/>
          <w:szCs w:val="22"/>
        </w:rPr>
        <w:t>sufrirían</w:t>
      </w:r>
      <w:r w:rsidRPr="00467F48" w:rsidR="00657DD7">
        <w:rPr>
          <w:sz w:val="22"/>
          <w:szCs w:val="22"/>
        </w:rPr>
        <w:t xml:space="preserve"> </w:t>
      </w:r>
      <w:r w:rsidRPr="00467F48">
        <w:rPr>
          <w:sz w:val="22"/>
          <w:szCs w:val="22"/>
        </w:rPr>
        <w:t>una</w:t>
      </w:r>
      <w:r w:rsidRPr="00467F48" w:rsidR="00657DD7">
        <w:rPr>
          <w:sz w:val="22"/>
          <w:szCs w:val="22"/>
        </w:rPr>
        <w:t xml:space="preserve"> </w:t>
      </w:r>
      <w:r w:rsidRPr="00467F48">
        <w:rPr>
          <w:sz w:val="22"/>
          <w:szCs w:val="22"/>
        </w:rPr>
        <w:t>caída</w:t>
      </w:r>
      <w:r w:rsidRPr="00467F48" w:rsidR="00657DD7">
        <w:rPr>
          <w:sz w:val="22"/>
          <w:szCs w:val="22"/>
        </w:rPr>
        <w:t xml:space="preserve"> </w:t>
      </w:r>
      <w:r w:rsidRPr="00467F48">
        <w:rPr>
          <w:sz w:val="22"/>
          <w:szCs w:val="22"/>
        </w:rPr>
        <w:t>inesperada</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£845</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que</w:t>
      </w:r>
      <w:r w:rsidRPr="00467F48" w:rsidR="00657DD7">
        <w:rPr>
          <w:sz w:val="22"/>
          <w:szCs w:val="22"/>
        </w:rPr>
        <w:t xml:space="preserve"> </w:t>
      </w:r>
      <w:r w:rsidRPr="00467F48">
        <w:rPr>
          <w:sz w:val="22"/>
          <w:szCs w:val="22"/>
        </w:rPr>
        <w:t>no</w:t>
      </w:r>
      <w:r w:rsidRPr="00467F48" w:rsidR="00657DD7">
        <w:rPr>
          <w:sz w:val="22"/>
          <w:szCs w:val="22"/>
        </w:rPr>
        <w:t xml:space="preserve"> </w:t>
      </w:r>
      <w:r w:rsidRPr="00467F48">
        <w:rPr>
          <w:sz w:val="22"/>
          <w:szCs w:val="22"/>
        </w:rPr>
        <w:t>pagaría</w:t>
      </w:r>
      <w:r w:rsidRPr="00467F48" w:rsidR="00657DD7">
        <w:rPr>
          <w:sz w:val="22"/>
          <w:szCs w:val="22"/>
        </w:rPr>
        <w:t xml:space="preserve"> </w:t>
      </w:r>
      <w:r w:rsidRPr="00467F48">
        <w:rPr>
          <w:sz w:val="22"/>
          <w:szCs w:val="22"/>
        </w:rPr>
        <w:t>dividendos</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los</w:t>
      </w:r>
      <w:r w:rsidRPr="00467F48" w:rsidR="00657DD7">
        <w:rPr>
          <w:sz w:val="22"/>
          <w:szCs w:val="22"/>
        </w:rPr>
        <w:t xml:space="preserve"> </w:t>
      </w:r>
      <w:r w:rsidRPr="00467F48">
        <w:rPr>
          <w:sz w:val="22"/>
          <w:szCs w:val="22"/>
        </w:rPr>
        <w:t>accionistas</w:t>
      </w:r>
      <w:r w:rsidRPr="00467F48" w:rsidR="00657DD7">
        <w:rPr>
          <w:sz w:val="22"/>
          <w:szCs w:val="22"/>
        </w:rPr>
        <w:t xml:space="preserve"> </w:t>
      </w:r>
      <w:r w:rsidRPr="00467F48">
        <w:rPr>
          <w:sz w:val="22"/>
          <w:szCs w:val="22"/>
        </w:rPr>
        <w:t>(Mor</w:t>
      </w:r>
      <w:r w:rsidRPr="00467F48" w:rsidR="00657DD7">
        <w:rPr>
          <w:sz w:val="22"/>
          <w:szCs w:val="22"/>
        </w:rPr>
        <w:t xml:space="preserve"> </w:t>
      </w:r>
      <w:r w:rsidRPr="00467F48">
        <w:rPr>
          <w:sz w:val="22"/>
          <w:szCs w:val="22"/>
        </w:rPr>
        <w:t>et</w:t>
      </w:r>
      <w:r w:rsidRPr="00467F48" w:rsidR="00657DD7">
        <w:rPr>
          <w:sz w:val="22"/>
          <w:szCs w:val="22"/>
        </w:rPr>
        <w:t xml:space="preserve"> </w:t>
      </w:r>
      <w:r w:rsidRPr="00467F48">
        <w:rPr>
          <w:sz w:val="22"/>
          <w:szCs w:val="22"/>
        </w:rPr>
        <w:t>al.,</w:t>
      </w:r>
      <w:r w:rsidRPr="00467F48" w:rsidR="00657DD7">
        <w:rPr>
          <w:sz w:val="22"/>
          <w:szCs w:val="22"/>
        </w:rPr>
        <w:t xml:space="preserve"> </w:t>
      </w:r>
      <w:r w:rsidRPr="00467F48">
        <w:rPr>
          <w:sz w:val="22"/>
          <w:szCs w:val="22"/>
        </w:rPr>
        <w:t>2018).</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reacción</w:t>
      </w:r>
      <w:r w:rsidRPr="00467F48" w:rsidR="00657DD7">
        <w:rPr>
          <w:sz w:val="22"/>
          <w:szCs w:val="22"/>
        </w:rPr>
        <w:t xml:space="preserve"> </w:t>
      </w:r>
      <w:r w:rsidRPr="00467F48">
        <w:rPr>
          <w:sz w:val="22"/>
          <w:szCs w:val="22"/>
        </w:rPr>
        <w:t>del</w:t>
      </w:r>
      <w:r w:rsidRPr="00467F48" w:rsidR="00657DD7">
        <w:rPr>
          <w:sz w:val="22"/>
          <w:szCs w:val="22"/>
        </w:rPr>
        <w:t xml:space="preserve"> </w:t>
      </w:r>
      <w:r w:rsidRPr="00467F48">
        <w:rPr>
          <w:sz w:val="22"/>
          <w:szCs w:val="22"/>
        </w:rPr>
        <w:t>mercado</w:t>
      </w:r>
      <w:r w:rsidRPr="00467F48" w:rsidR="00657DD7">
        <w:rPr>
          <w:sz w:val="22"/>
          <w:szCs w:val="22"/>
        </w:rPr>
        <w:t xml:space="preserve"> </w:t>
      </w:r>
      <w:r w:rsidRPr="00467F48">
        <w:rPr>
          <w:sz w:val="22"/>
          <w:szCs w:val="22"/>
        </w:rPr>
        <w:t>fue</w:t>
      </w:r>
      <w:r w:rsidRPr="00467F48" w:rsidR="00657DD7">
        <w:rPr>
          <w:sz w:val="22"/>
          <w:szCs w:val="22"/>
        </w:rPr>
        <w:t xml:space="preserve"> </w:t>
      </w:r>
      <w:r w:rsidRPr="00467F48">
        <w:rPr>
          <w:sz w:val="22"/>
          <w:szCs w:val="22"/>
        </w:rPr>
        <w:t>inmediata:</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apenas</w:t>
      </w:r>
      <w:r w:rsidRPr="00467F48" w:rsidR="00657DD7">
        <w:rPr>
          <w:sz w:val="22"/>
          <w:szCs w:val="22"/>
        </w:rPr>
        <w:t xml:space="preserve"> </w:t>
      </w:r>
      <w:r w:rsidRPr="00467F48">
        <w:rPr>
          <w:sz w:val="22"/>
          <w:szCs w:val="22"/>
        </w:rPr>
        <w:t>dos</w:t>
      </w:r>
      <w:r w:rsidRPr="00467F48" w:rsidR="00657DD7">
        <w:rPr>
          <w:sz w:val="22"/>
          <w:szCs w:val="22"/>
        </w:rPr>
        <w:t xml:space="preserve"> </w:t>
      </w:r>
      <w:r w:rsidRPr="00467F48">
        <w:rPr>
          <w:sz w:val="22"/>
          <w:szCs w:val="22"/>
        </w:rPr>
        <w:t>días</w:t>
      </w:r>
      <w:r w:rsidRPr="00467F48" w:rsidR="00657DD7">
        <w:rPr>
          <w:sz w:val="22"/>
          <w:szCs w:val="22"/>
        </w:rPr>
        <w:t xml:space="preserve"> </w:t>
      </w:r>
      <w:r w:rsidRPr="00467F48">
        <w:rPr>
          <w:sz w:val="22"/>
          <w:szCs w:val="22"/>
        </w:rPr>
        <w:t>el</w:t>
      </w:r>
      <w:r w:rsidRPr="00467F48" w:rsidR="00657DD7">
        <w:rPr>
          <w:sz w:val="22"/>
          <w:szCs w:val="22"/>
        </w:rPr>
        <w:t xml:space="preserve"> </w:t>
      </w:r>
      <w:r w:rsidRPr="00467F48">
        <w:rPr>
          <w:sz w:val="22"/>
          <w:szCs w:val="22"/>
        </w:rPr>
        <w:t>valor</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sus</w:t>
      </w:r>
      <w:r w:rsidRPr="00467F48" w:rsidR="00657DD7">
        <w:rPr>
          <w:sz w:val="22"/>
          <w:szCs w:val="22"/>
        </w:rPr>
        <w:t xml:space="preserve"> </w:t>
      </w:r>
      <w:r w:rsidRPr="00467F48">
        <w:rPr>
          <w:sz w:val="22"/>
          <w:szCs w:val="22"/>
        </w:rPr>
        <w:t>acciones</w:t>
      </w:r>
      <w:r w:rsidRPr="00467F48" w:rsidR="00657DD7">
        <w:rPr>
          <w:sz w:val="22"/>
          <w:szCs w:val="22"/>
        </w:rPr>
        <w:t xml:space="preserve"> </w:t>
      </w:r>
      <w:r w:rsidRPr="00467F48">
        <w:rPr>
          <w:sz w:val="22"/>
          <w:szCs w:val="22"/>
        </w:rPr>
        <w:t>cayó</w:t>
      </w:r>
      <w:r w:rsidRPr="00467F48" w:rsidR="00657DD7">
        <w:rPr>
          <w:sz w:val="22"/>
          <w:szCs w:val="22"/>
        </w:rPr>
        <w:t xml:space="preserve"> </w:t>
      </w:r>
      <w:r w:rsidRPr="00467F48">
        <w:rPr>
          <w:sz w:val="22"/>
          <w:szCs w:val="22"/>
        </w:rPr>
        <w:t>alrededor</w:t>
      </w:r>
      <w:r w:rsidRPr="00467F48" w:rsidR="00657DD7">
        <w:rPr>
          <w:sz w:val="22"/>
          <w:szCs w:val="22"/>
        </w:rPr>
        <w:t xml:space="preserve"> </w:t>
      </w:r>
      <w:r w:rsidRPr="00467F48">
        <w:rPr>
          <w:sz w:val="22"/>
          <w:szCs w:val="22"/>
        </w:rPr>
        <w:t>del</w:t>
      </w:r>
      <w:r w:rsidRPr="00467F48" w:rsidR="00657DD7">
        <w:rPr>
          <w:sz w:val="22"/>
          <w:szCs w:val="22"/>
        </w:rPr>
        <w:t xml:space="preserve"> </w:t>
      </w:r>
      <w:r w:rsidRPr="00467F48">
        <w:rPr>
          <w:sz w:val="22"/>
          <w:szCs w:val="22"/>
        </w:rPr>
        <w:t>70</w:t>
      </w:r>
      <w:r w:rsidRPr="00467F48" w:rsidR="00657DD7">
        <w:rPr>
          <w:sz w:val="22"/>
          <w:szCs w:val="22"/>
        </w:rPr>
        <w:t xml:space="preserve"> </w:t>
      </w:r>
      <w:r w:rsidRPr="00467F48">
        <w:rPr>
          <w:sz w:val="22"/>
          <w:szCs w:val="22"/>
        </w:rPr>
        <w:t>%,</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el</w:t>
      </w:r>
      <w:r w:rsidRPr="00467F48" w:rsidR="00657DD7">
        <w:rPr>
          <w:sz w:val="22"/>
          <w:szCs w:val="22"/>
        </w:rPr>
        <w:t xml:space="preserve"> </w:t>
      </w:r>
      <w:r w:rsidRPr="00467F48">
        <w:rPr>
          <w:sz w:val="22"/>
          <w:szCs w:val="22"/>
        </w:rPr>
        <w:t>director</w:t>
      </w:r>
      <w:r w:rsidRPr="00467F48" w:rsidR="00657DD7">
        <w:rPr>
          <w:sz w:val="22"/>
          <w:szCs w:val="22"/>
        </w:rPr>
        <w:t xml:space="preserve"> </w:t>
      </w:r>
      <w:r w:rsidRPr="00467F48">
        <w:rPr>
          <w:sz w:val="22"/>
          <w:szCs w:val="22"/>
        </w:rPr>
        <w:t>ejecutivo</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compañía</w:t>
      </w:r>
      <w:r w:rsidRPr="00467F48" w:rsidR="00657DD7">
        <w:rPr>
          <w:sz w:val="22"/>
          <w:szCs w:val="22"/>
        </w:rPr>
        <w:t xml:space="preserve"> </w:t>
      </w:r>
      <w:r w:rsidRPr="00467F48">
        <w:rPr>
          <w:sz w:val="22"/>
          <w:szCs w:val="22"/>
        </w:rPr>
        <w:t>presentó</w:t>
      </w:r>
      <w:r w:rsidRPr="00467F48" w:rsidR="00657DD7">
        <w:rPr>
          <w:sz w:val="22"/>
          <w:szCs w:val="22"/>
        </w:rPr>
        <w:t xml:space="preserve"> </w:t>
      </w:r>
      <w:r w:rsidRPr="00467F48">
        <w:rPr>
          <w:sz w:val="22"/>
          <w:szCs w:val="22"/>
        </w:rPr>
        <w:t>su</w:t>
      </w:r>
      <w:r w:rsidRPr="00467F48" w:rsidR="00657DD7">
        <w:rPr>
          <w:sz w:val="22"/>
          <w:szCs w:val="22"/>
        </w:rPr>
        <w:t xml:space="preserve"> </w:t>
      </w:r>
      <w:r w:rsidRPr="00467F48">
        <w:rPr>
          <w:sz w:val="22"/>
          <w:szCs w:val="22"/>
        </w:rPr>
        <w:t>renuncia.</w:t>
      </w:r>
      <w:r w:rsidRPr="00467F48" w:rsidR="00657DD7">
        <w:rPr>
          <w:sz w:val="22"/>
          <w:szCs w:val="22"/>
        </w:rPr>
        <w:t xml:space="preserve"> </w:t>
      </w:r>
      <w:r w:rsidRPr="00467F48">
        <w:rPr>
          <w:sz w:val="22"/>
          <w:szCs w:val="22"/>
        </w:rPr>
        <w:t>Posteriormente,</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septiembre</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2017,</w:t>
      </w:r>
      <w:r w:rsidRPr="00467F48" w:rsidR="00657DD7">
        <w:rPr>
          <w:sz w:val="22"/>
          <w:szCs w:val="22"/>
        </w:rPr>
        <w:t xml:space="preserve"> </w:t>
      </w:r>
      <w:r w:rsidRPr="00467F48">
        <w:rPr>
          <w:sz w:val="22"/>
          <w:szCs w:val="22"/>
        </w:rPr>
        <w:t>los</w:t>
      </w:r>
      <w:r w:rsidRPr="00467F48" w:rsidR="00657DD7">
        <w:rPr>
          <w:sz w:val="22"/>
          <w:szCs w:val="22"/>
        </w:rPr>
        <w:t xml:space="preserve"> </w:t>
      </w:r>
      <w:r w:rsidRPr="00467F48">
        <w:rPr>
          <w:sz w:val="22"/>
          <w:szCs w:val="22"/>
        </w:rPr>
        <w:t>estados</w:t>
      </w:r>
      <w:r w:rsidRPr="00467F48" w:rsidR="00657DD7">
        <w:rPr>
          <w:sz w:val="22"/>
          <w:szCs w:val="22"/>
        </w:rPr>
        <w:t xml:space="preserve"> </w:t>
      </w:r>
      <w:r w:rsidRPr="00467F48">
        <w:rPr>
          <w:sz w:val="22"/>
          <w:szCs w:val="22"/>
        </w:rPr>
        <w:t>financieros</w:t>
      </w:r>
      <w:r w:rsidRPr="00467F48" w:rsidR="00657DD7">
        <w:rPr>
          <w:sz w:val="22"/>
          <w:szCs w:val="22"/>
        </w:rPr>
        <w:t xml:space="preserve"> </w:t>
      </w:r>
      <w:r w:rsidRPr="00467F48">
        <w:rPr>
          <w:sz w:val="22"/>
          <w:szCs w:val="22"/>
        </w:rPr>
        <w:t>semestrales</w:t>
      </w:r>
      <w:r w:rsidRPr="00467F48" w:rsidR="00657DD7">
        <w:rPr>
          <w:sz w:val="22"/>
          <w:szCs w:val="22"/>
        </w:rPr>
        <w:t xml:space="preserve"> </w:t>
      </w:r>
      <w:r w:rsidRPr="00467F48">
        <w:rPr>
          <w:sz w:val="22"/>
          <w:szCs w:val="22"/>
        </w:rPr>
        <w:t>mostraron</w:t>
      </w:r>
      <w:r w:rsidRPr="00467F48" w:rsidR="00657DD7">
        <w:rPr>
          <w:sz w:val="22"/>
          <w:szCs w:val="22"/>
        </w:rPr>
        <w:t xml:space="preserve"> </w:t>
      </w:r>
      <w:r w:rsidRPr="00467F48">
        <w:rPr>
          <w:sz w:val="22"/>
          <w:szCs w:val="22"/>
        </w:rPr>
        <w:t>un</w:t>
      </w:r>
      <w:r w:rsidRPr="00467F48" w:rsidR="00657DD7">
        <w:rPr>
          <w:sz w:val="22"/>
          <w:szCs w:val="22"/>
        </w:rPr>
        <w:t xml:space="preserve"> </w:t>
      </w:r>
      <w:r w:rsidRPr="00467F48">
        <w:rPr>
          <w:sz w:val="22"/>
          <w:szCs w:val="22"/>
        </w:rPr>
        <w:t>deterioro</w:t>
      </w:r>
      <w:r w:rsidRPr="00467F48" w:rsidR="00657DD7">
        <w:rPr>
          <w:sz w:val="22"/>
          <w:szCs w:val="22"/>
        </w:rPr>
        <w:t xml:space="preserve"> </w:t>
      </w:r>
      <w:r w:rsidRPr="00467F48">
        <w:rPr>
          <w:sz w:val="22"/>
          <w:szCs w:val="22"/>
        </w:rPr>
        <w:t>aún</w:t>
      </w:r>
      <w:r w:rsidRPr="00467F48" w:rsidR="00657DD7">
        <w:rPr>
          <w:sz w:val="22"/>
          <w:szCs w:val="22"/>
        </w:rPr>
        <w:t xml:space="preserve"> </w:t>
      </w:r>
      <w:r w:rsidRPr="00467F48">
        <w:rPr>
          <w:sz w:val="22"/>
          <w:szCs w:val="22"/>
        </w:rPr>
        <w:t>mayor</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situación,</w:t>
      </w:r>
      <w:r w:rsidRPr="00467F48" w:rsidR="00657DD7">
        <w:rPr>
          <w:sz w:val="22"/>
          <w:szCs w:val="22"/>
        </w:rPr>
        <w:t xml:space="preserve"> </w:t>
      </w:r>
      <w:r w:rsidRPr="00467F48">
        <w:rPr>
          <w:sz w:val="22"/>
          <w:szCs w:val="22"/>
        </w:rPr>
        <w:t>con</w:t>
      </w:r>
      <w:r w:rsidRPr="00467F48" w:rsidR="00657DD7">
        <w:rPr>
          <w:sz w:val="22"/>
          <w:szCs w:val="22"/>
        </w:rPr>
        <w:t xml:space="preserve"> </w:t>
      </w:r>
      <w:r w:rsidRPr="00467F48">
        <w:rPr>
          <w:sz w:val="22"/>
          <w:szCs w:val="22"/>
        </w:rPr>
        <w:t>una</w:t>
      </w:r>
      <w:r w:rsidRPr="00467F48" w:rsidR="00657DD7">
        <w:rPr>
          <w:sz w:val="22"/>
          <w:szCs w:val="22"/>
        </w:rPr>
        <w:t xml:space="preserve"> </w:t>
      </w:r>
      <w:r w:rsidRPr="00467F48">
        <w:rPr>
          <w:sz w:val="22"/>
          <w:szCs w:val="22"/>
        </w:rPr>
        <w:t>utilidad</w:t>
      </w:r>
      <w:r w:rsidRPr="00467F48" w:rsidR="00657DD7">
        <w:rPr>
          <w:sz w:val="22"/>
          <w:szCs w:val="22"/>
        </w:rPr>
        <w:t xml:space="preserve"> </w:t>
      </w:r>
      <w:r w:rsidRPr="00467F48">
        <w:rPr>
          <w:sz w:val="22"/>
          <w:szCs w:val="22"/>
        </w:rPr>
        <w:t>operativa</w:t>
      </w:r>
      <w:r w:rsidRPr="00467F48" w:rsidR="00657DD7">
        <w:rPr>
          <w:sz w:val="22"/>
          <w:szCs w:val="22"/>
        </w:rPr>
        <w:t xml:space="preserve"> </w:t>
      </w:r>
      <w:r w:rsidRPr="00467F48">
        <w:rPr>
          <w:sz w:val="22"/>
          <w:szCs w:val="22"/>
        </w:rPr>
        <w:t>antes</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impuestos</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aproximadamente</w:t>
      </w:r>
      <w:r w:rsidRPr="00467F48" w:rsidR="00657DD7">
        <w:rPr>
          <w:sz w:val="22"/>
          <w:szCs w:val="22"/>
        </w:rPr>
        <w:t xml:space="preserve"> </w:t>
      </w:r>
      <w:r w:rsidRPr="00467F48">
        <w:rPr>
          <w:sz w:val="22"/>
          <w:szCs w:val="22"/>
        </w:rPr>
        <w:t>–£1,2</w:t>
      </w:r>
      <w:r w:rsidRPr="00467F48" w:rsidR="00657DD7">
        <w:rPr>
          <w:sz w:val="22"/>
          <w:szCs w:val="22"/>
        </w:rPr>
        <w:t xml:space="preserve"> </w:t>
      </w:r>
      <w:r w:rsidRPr="00467F48">
        <w:rPr>
          <w:sz w:val="22"/>
          <w:szCs w:val="22"/>
        </w:rPr>
        <w:t>mil</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confirmando</w:t>
      </w:r>
      <w:r w:rsidRPr="00467F48" w:rsidR="00657DD7">
        <w:rPr>
          <w:sz w:val="22"/>
          <w:szCs w:val="22"/>
        </w:rPr>
        <w:t xml:space="preserve"> </w:t>
      </w:r>
      <w:r w:rsidRPr="00467F48">
        <w:rPr>
          <w:sz w:val="22"/>
          <w:szCs w:val="22"/>
        </w:rPr>
        <w:t>que</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empresa</w:t>
      </w:r>
      <w:r w:rsidRPr="00467F48" w:rsidR="00657DD7">
        <w:rPr>
          <w:sz w:val="22"/>
          <w:szCs w:val="22"/>
        </w:rPr>
        <w:t xml:space="preserve"> </w:t>
      </w:r>
      <w:r w:rsidRPr="00467F48">
        <w:rPr>
          <w:sz w:val="22"/>
          <w:szCs w:val="22"/>
        </w:rPr>
        <w:t>atravesaba</w:t>
      </w:r>
      <w:r w:rsidRPr="00467F48" w:rsidR="00657DD7">
        <w:rPr>
          <w:sz w:val="22"/>
          <w:szCs w:val="22"/>
        </w:rPr>
        <w:t xml:space="preserve"> </w:t>
      </w:r>
      <w:r w:rsidRPr="00467F48">
        <w:rPr>
          <w:sz w:val="22"/>
          <w:szCs w:val="22"/>
        </w:rPr>
        <w:t>una</w:t>
      </w:r>
      <w:r w:rsidRPr="00467F48" w:rsidR="00657DD7">
        <w:rPr>
          <w:sz w:val="22"/>
          <w:szCs w:val="22"/>
        </w:rPr>
        <w:t xml:space="preserve"> </w:t>
      </w:r>
      <w:r w:rsidRPr="00467F48">
        <w:rPr>
          <w:sz w:val="22"/>
          <w:szCs w:val="22"/>
        </w:rPr>
        <w:t>crisis</w:t>
      </w:r>
      <w:r w:rsidRPr="00467F48" w:rsidR="00657DD7">
        <w:rPr>
          <w:sz w:val="22"/>
          <w:szCs w:val="22"/>
        </w:rPr>
        <w:t xml:space="preserve"> </w:t>
      </w:r>
      <w:r w:rsidRPr="00467F48">
        <w:rPr>
          <w:sz w:val="22"/>
          <w:szCs w:val="22"/>
        </w:rPr>
        <w:t>financiera</w:t>
      </w:r>
      <w:r w:rsidRPr="00467F48" w:rsidR="00657DD7">
        <w:rPr>
          <w:sz w:val="22"/>
          <w:szCs w:val="22"/>
        </w:rPr>
        <w:t xml:space="preserve"> </w:t>
      </w:r>
      <w:r w:rsidRPr="00467F48">
        <w:rPr>
          <w:sz w:val="22"/>
          <w:szCs w:val="22"/>
        </w:rPr>
        <w:t>profunda</w:t>
      </w:r>
      <w:r w:rsidRPr="00467F48" w:rsidR="00657DD7">
        <w:rPr>
          <w:sz w:val="22"/>
          <w:szCs w:val="22"/>
        </w:rPr>
        <w:t xml:space="preserve"> </w:t>
      </w:r>
      <w:r w:rsidRPr="00467F48">
        <w:rPr>
          <w:sz w:val="22"/>
          <w:szCs w:val="22"/>
        </w:rPr>
        <w:t>(Carillion,</w:t>
      </w:r>
      <w:r w:rsidRPr="00467F48" w:rsidR="00657DD7">
        <w:rPr>
          <w:sz w:val="22"/>
          <w:szCs w:val="22"/>
        </w:rPr>
        <w:t xml:space="preserve"> </w:t>
      </w:r>
      <w:r w:rsidRPr="00467F48">
        <w:rPr>
          <w:sz w:val="22"/>
          <w:szCs w:val="22"/>
        </w:rPr>
        <w:t>2017).</w:t>
      </w:r>
    </w:p>
    <w:p w:rsidRPr="00467F48" w:rsidR="00192B05" w:rsidP="004159DA" w:rsidRDefault="00192B05" w14:paraId="723B4B1A" w14:textId="263D24C5">
      <w:pPr>
        <w:spacing w:line="276" w:lineRule="auto"/>
        <w:jc w:val="both"/>
        <w:rPr>
          <w:sz w:val="22"/>
          <w:szCs w:val="22"/>
        </w:rPr>
      </w:pPr>
      <w:r w:rsidRPr="00467F48">
        <w:rPr>
          <w:sz w:val="22"/>
          <w:szCs w:val="22"/>
        </w:rPr>
        <w:t>Una</w:t>
      </w:r>
      <w:r w:rsidRPr="00467F48" w:rsidR="00657DD7">
        <w:rPr>
          <w:sz w:val="22"/>
          <w:szCs w:val="22"/>
        </w:rPr>
        <w:t xml:space="preserve"> </w:t>
      </w:r>
      <w:r w:rsidRPr="00467F48">
        <w:rPr>
          <w:sz w:val="22"/>
          <w:szCs w:val="22"/>
        </w:rPr>
        <w:t>parte</w:t>
      </w:r>
      <w:r w:rsidRPr="00467F48" w:rsidR="00657DD7">
        <w:rPr>
          <w:sz w:val="22"/>
          <w:szCs w:val="22"/>
        </w:rPr>
        <w:t xml:space="preserve"> </w:t>
      </w:r>
      <w:r w:rsidRPr="00467F48">
        <w:rPr>
          <w:sz w:val="22"/>
          <w:szCs w:val="22"/>
        </w:rPr>
        <w:t>significativa</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las</w:t>
      </w:r>
      <w:r w:rsidRPr="00467F48" w:rsidR="00657DD7">
        <w:rPr>
          <w:sz w:val="22"/>
          <w:szCs w:val="22"/>
        </w:rPr>
        <w:t xml:space="preserve"> </w:t>
      </w:r>
      <w:r w:rsidRPr="00467F48">
        <w:rPr>
          <w:sz w:val="22"/>
          <w:szCs w:val="22"/>
        </w:rPr>
        <w:t>pérdidas</w:t>
      </w:r>
      <w:r w:rsidRPr="00467F48" w:rsidR="00657DD7">
        <w:rPr>
          <w:sz w:val="22"/>
          <w:szCs w:val="22"/>
        </w:rPr>
        <w:t xml:space="preserve"> </w:t>
      </w:r>
      <w:r w:rsidRPr="00467F48">
        <w:rPr>
          <w:sz w:val="22"/>
          <w:szCs w:val="22"/>
        </w:rPr>
        <w:t>estaba</w:t>
      </w:r>
      <w:r w:rsidRPr="00467F48" w:rsidR="00657DD7">
        <w:rPr>
          <w:sz w:val="22"/>
          <w:szCs w:val="22"/>
        </w:rPr>
        <w:t xml:space="preserve"> </w:t>
      </w:r>
      <w:r w:rsidRPr="00467F48">
        <w:rPr>
          <w:sz w:val="22"/>
          <w:szCs w:val="22"/>
        </w:rPr>
        <w:t>asociada</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proyectos</w:t>
      </w:r>
      <w:r w:rsidRPr="00467F48" w:rsidR="00657DD7">
        <w:rPr>
          <w:sz w:val="22"/>
          <w:szCs w:val="22"/>
        </w:rPr>
        <w:t xml:space="preserve"> </w:t>
      </w:r>
      <w:r w:rsidRPr="00467F48">
        <w:rPr>
          <w:sz w:val="22"/>
          <w:szCs w:val="22"/>
        </w:rPr>
        <w:t>específicos</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expansión</w:t>
      </w:r>
      <w:r w:rsidRPr="00467F48" w:rsidR="00657DD7">
        <w:rPr>
          <w:sz w:val="22"/>
          <w:szCs w:val="22"/>
        </w:rPr>
        <w:t xml:space="preserve"> </w:t>
      </w:r>
      <w:r w:rsidRPr="00467F48">
        <w:rPr>
          <w:sz w:val="22"/>
          <w:szCs w:val="22"/>
        </w:rPr>
        <w:t>internacional.</w:t>
      </w:r>
      <w:r w:rsidRPr="00467F48" w:rsidR="00657DD7">
        <w:rPr>
          <w:sz w:val="22"/>
          <w:szCs w:val="22"/>
        </w:rPr>
        <w:t xml:space="preserve"> </w:t>
      </w:r>
      <w:r w:rsidRPr="00467F48">
        <w:rPr>
          <w:sz w:val="22"/>
          <w:szCs w:val="22"/>
        </w:rPr>
        <w:t>Aproximadamente</w:t>
      </w:r>
      <w:r w:rsidRPr="00467F48" w:rsidR="00657DD7">
        <w:rPr>
          <w:sz w:val="22"/>
          <w:szCs w:val="22"/>
        </w:rPr>
        <w:t xml:space="preserve"> </w:t>
      </w:r>
      <w:r w:rsidRPr="00467F48">
        <w:rPr>
          <w:sz w:val="22"/>
          <w:szCs w:val="22"/>
        </w:rPr>
        <w:t>£314</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las</w:t>
      </w:r>
      <w:r w:rsidRPr="00467F48" w:rsidR="00657DD7">
        <w:rPr>
          <w:sz w:val="22"/>
          <w:szCs w:val="22"/>
        </w:rPr>
        <w:t xml:space="preserve"> </w:t>
      </w:r>
      <w:r w:rsidRPr="00467F48">
        <w:rPr>
          <w:sz w:val="22"/>
          <w:szCs w:val="22"/>
        </w:rPr>
        <w:t>pérdidas</w:t>
      </w:r>
      <w:r w:rsidRPr="00467F48" w:rsidR="00657DD7">
        <w:rPr>
          <w:sz w:val="22"/>
          <w:szCs w:val="22"/>
        </w:rPr>
        <w:t xml:space="preserve"> </w:t>
      </w:r>
      <w:r w:rsidRPr="00467F48">
        <w:rPr>
          <w:sz w:val="22"/>
          <w:szCs w:val="22"/>
        </w:rPr>
        <w:t>se</w:t>
      </w:r>
      <w:r w:rsidRPr="00467F48" w:rsidR="00657DD7">
        <w:rPr>
          <w:sz w:val="22"/>
          <w:szCs w:val="22"/>
        </w:rPr>
        <w:t xml:space="preserve"> </w:t>
      </w:r>
      <w:r w:rsidRPr="00467F48">
        <w:rPr>
          <w:sz w:val="22"/>
          <w:szCs w:val="22"/>
        </w:rPr>
        <w:t>atribuyeron</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incursiones</w:t>
      </w:r>
      <w:r w:rsidRPr="00467F48" w:rsidR="00657DD7">
        <w:rPr>
          <w:sz w:val="22"/>
          <w:szCs w:val="22"/>
        </w:rPr>
        <w:t xml:space="preserve"> </w:t>
      </w:r>
      <w:r w:rsidRPr="00467F48">
        <w:rPr>
          <w:sz w:val="22"/>
          <w:szCs w:val="22"/>
        </w:rPr>
        <w:t>riesgosas</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nuevos</w:t>
      </w:r>
      <w:r w:rsidRPr="00467F48" w:rsidR="00657DD7">
        <w:rPr>
          <w:sz w:val="22"/>
          <w:szCs w:val="22"/>
        </w:rPr>
        <w:t xml:space="preserve"> </w:t>
      </w:r>
      <w:r w:rsidRPr="00467F48">
        <w:rPr>
          <w:sz w:val="22"/>
          <w:szCs w:val="22"/>
        </w:rPr>
        <w:t>mercados</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Oriente</w:t>
      </w:r>
      <w:r w:rsidRPr="00467F48" w:rsidR="00657DD7">
        <w:rPr>
          <w:sz w:val="22"/>
          <w:szCs w:val="22"/>
        </w:rPr>
        <w:t xml:space="preserve"> </w:t>
      </w:r>
      <w:r w:rsidRPr="00467F48">
        <w:rPr>
          <w:sz w:val="22"/>
          <w:szCs w:val="22"/>
        </w:rPr>
        <w:t>Medio</w:t>
      </w:r>
      <w:r w:rsidRPr="00467F48" w:rsidR="00657DD7">
        <w:rPr>
          <w:sz w:val="22"/>
          <w:szCs w:val="22"/>
        </w:rPr>
        <w:t xml:space="preserve"> </w:t>
      </w:r>
      <w:r w:rsidRPr="00467F48">
        <w:rPr>
          <w:sz w:val="22"/>
          <w:szCs w:val="22"/>
        </w:rPr>
        <w:t>(Global</w:t>
      </w:r>
      <w:r w:rsidRPr="00467F48" w:rsidR="00657DD7">
        <w:rPr>
          <w:sz w:val="22"/>
          <w:szCs w:val="22"/>
        </w:rPr>
        <w:t xml:space="preserve"> </w:t>
      </w:r>
      <w:proofErr w:type="spellStart"/>
      <w:r w:rsidRPr="00467F48">
        <w:rPr>
          <w:sz w:val="22"/>
          <w:szCs w:val="22"/>
        </w:rPr>
        <w:t>Construction</w:t>
      </w:r>
      <w:proofErr w:type="spellEnd"/>
      <w:r w:rsidRPr="00467F48" w:rsidR="00657DD7">
        <w:rPr>
          <w:sz w:val="22"/>
          <w:szCs w:val="22"/>
        </w:rPr>
        <w:t xml:space="preserve"> </w:t>
      </w:r>
      <w:proofErr w:type="spellStart"/>
      <w:r w:rsidRPr="00467F48">
        <w:rPr>
          <w:sz w:val="22"/>
          <w:szCs w:val="22"/>
        </w:rPr>
        <w:t>Review</w:t>
      </w:r>
      <w:proofErr w:type="spellEnd"/>
      <w:r w:rsidRPr="00467F48">
        <w:rPr>
          <w:sz w:val="22"/>
          <w:szCs w:val="22"/>
        </w:rPr>
        <w:t>,</w:t>
      </w:r>
      <w:r w:rsidRPr="00467F48" w:rsidR="00657DD7">
        <w:rPr>
          <w:sz w:val="22"/>
          <w:szCs w:val="22"/>
        </w:rPr>
        <w:t xml:space="preserve"> </w:t>
      </w:r>
      <w:r w:rsidRPr="00467F48">
        <w:rPr>
          <w:sz w:val="22"/>
          <w:szCs w:val="22"/>
        </w:rPr>
        <w:t>2018).</w:t>
      </w:r>
      <w:r w:rsidRPr="00467F48" w:rsidR="00657DD7">
        <w:rPr>
          <w:sz w:val="22"/>
          <w:szCs w:val="22"/>
        </w:rPr>
        <w:t xml:space="preserve"> </w:t>
      </w:r>
      <w:r w:rsidRPr="00467F48">
        <w:rPr>
          <w:sz w:val="22"/>
          <w:szCs w:val="22"/>
        </w:rPr>
        <w:t>A</w:t>
      </w:r>
      <w:r w:rsidRPr="00467F48" w:rsidR="00657DD7">
        <w:rPr>
          <w:sz w:val="22"/>
          <w:szCs w:val="22"/>
        </w:rPr>
        <w:t xml:space="preserve"> </w:t>
      </w:r>
      <w:r w:rsidRPr="00467F48">
        <w:rPr>
          <w:sz w:val="22"/>
          <w:szCs w:val="22"/>
        </w:rPr>
        <w:t>esto</w:t>
      </w:r>
      <w:r w:rsidRPr="00467F48" w:rsidR="00657DD7">
        <w:rPr>
          <w:sz w:val="22"/>
          <w:szCs w:val="22"/>
        </w:rPr>
        <w:t xml:space="preserve"> </w:t>
      </w:r>
      <w:r w:rsidRPr="00467F48">
        <w:rPr>
          <w:sz w:val="22"/>
          <w:szCs w:val="22"/>
        </w:rPr>
        <w:t>se</w:t>
      </w:r>
      <w:r w:rsidRPr="00467F48" w:rsidR="00657DD7">
        <w:rPr>
          <w:sz w:val="22"/>
          <w:szCs w:val="22"/>
        </w:rPr>
        <w:t xml:space="preserve"> </w:t>
      </w:r>
      <w:r w:rsidRPr="00467F48">
        <w:rPr>
          <w:sz w:val="22"/>
          <w:szCs w:val="22"/>
        </w:rPr>
        <w:t>sumaron</w:t>
      </w:r>
      <w:r w:rsidRPr="00467F48" w:rsidR="00657DD7">
        <w:rPr>
          <w:sz w:val="22"/>
          <w:szCs w:val="22"/>
        </w:rPr>
        <w:t xml:space="preserve"> </w:t>
      </w:r>
      <w:r w:rsidRPr="00467F48">
        <w:rPr>
          <w:sz w:val="22"/>
          <w:szCs w:val="22"/>
        </w:rPr>
        <w:t>£375</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sobrecostos</w:t>
      </w:r>
      <w:r w:rsidRPr="00467F48" w:rsidR="00657DD7">
        <w:rPr>
          <w:sz w:val="22"/>
          <w:szCs w:val="22"/>
        </w:rPr>
        <w:t xml:space="preserve"> </w:t>
      </w:r>
      <w:r w:rsidRPr="00467F48">
        <w:rPr>
          <w:sz w:val="22"/>
          <w:szCs w:val="22"/>
        </w:rPr>
        <w:t>relacionados</w:t>
      </w:r>
      <w:r w:rsidRPr="00467F48" w:rsidR="00657DD7">
        <w:rPr>
          <w:sz w:val="22"/>
          <w:szCs w:val="22"/>
        </w:rPr>
        <w:t xml:space="preserve"> </w:t>
      </w:r>
      <w:r w:rsidRPr="00467F48">
        <w:rPr>
          <w:sz w:val="22"/>
          <w:szCs w:val="22"/>
        </w:rPr>
        <w:t>con</w:t>
      </w:r>
      <w:r w:rsidRPr="00467F48" w:rsidR="00657DD7">
        <w:rPr>
          <w:sz w:val="22"/>
          <w:szCs w:val="22"/>
        </w:rPr>
        <w:t xml:space="preserve"> </w:t>
      </w:r>
      <w:r w:rsidRPr="00467F48">
        <w:rPr>
          <w:sz w:val="22"/>
          <w:szCs w:val="22"/>
        </w:rPr>
        <w:t>tres</w:t>
      </w:r>
      <w:r w:rsidRPr="00467F48" w:rsidR="00657DD7">
        <w:rPr>
          <w:sz w:val="22"/>
          <w:szCs w:val="22"/>
        </w:rPr>
        <w:t xml:space="preserve"> </w:t>
      </w:r>
      <w:r w:rsidRPr="00467F48">
        <w:rPr>
          <w:sz w:val="22"/>
          <w:szCs w:val="22"/>
        </w:rPr>
        <w:t>grandes</w:t>
      </w:r>
      <w:r w:rsidRPr="00467F48" w:rsidR="00657DD7">
        <w:rPr>
          <w:sz w:val="22"/>
          <w:szCs w:val="22"/>
        </w:rPr>
        <w:t xml:space="preserve"> </w:t>
      </w:r>
      <w:r w:rsidRPr="00467F48">
        <w:rPr>
          <w:sz w:val="22"/>
          <w:szCs w:val="22"/>
        </w:rPr>
        <w:t>proyectos</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asociaciones</w:t>
      </w:r>
      <w:r w:rsidRPr="00467F48" w:rsidR="00657DD7">
        <w:rPr>
          <w:sz w:val="22"/>
          <w:szCs w:val="22"/>
        </w:rPr>
        <w:t xml:space="preserve"> </w:t>
      </w:r>
      <w:r w:rsidRPr="00467F48">
        <w:rPr>
          <w:sz w:val="22"/>
          <w:szCs w:val="22"/>
        </w:rPr>
        <w:lastRenderedPageBreak/>
        <w:t>público-privadas</w:t>
      </w:r>
      <w:r w:rsidRPr="00467F48" w:rsidR="00657DD7">
        <w:rPr>
          <w:sz w:val="22"/>
          <w:szCs w:val="22"/>
        </w:rPr>
        <w:t xml:space="preserve"> </w:t>
      </w:r>
      <w:r w:rsidRPr="00467F48">
        <w:rPr>
          <w:sz w:val="22"/>
          <w:szCs w:val="22"/>
        </w:rPr>
        <w:t>(PPP)</w:t>
      </w:r>
      <w:r w:rsidRPr="00467F48" w:rsidR="00657DD7">
        <w:rPr>
          <w:sz w:val="22"/>
          <w:szCs w:val="22"/>
        </w:rPr>
        <w:t xml:space="preserve"> </w:t>
      </w:r>
      <w:r w:rsidRPr="00467F48">
        <w:rPr>
          <w:sz w:val="22"/>
          <w:szCs w:val="22"/>
        </w:rPr>
        <w:t>que</w:t>
      </w:r>
      <w:r w:rsidRPr="00467F48" w:rsidR="00657DD7">
        <w:rPr>
          <w:sz w:val="22"/>
          <w:szCs w:val="22"/>
        </w:rPr>
        <w:t xml:space="preserve"> </w:t>
      </w:r>
      <w:r w:rsidRPr="00467F48">
        <w:rPr>
          <w:sz w:val="22"/>
          <w:szCs w:val="22"/>
        </w:rPr>
        <w:t>enfrentaron</w:t>
      </w:r>
      <w:r w:rsidRPr="00467F48" w:rsidR="00657DD7">
        <w:rPr>
          <w:sz w:val="22"/>
          <w:szCs w:val="22"/>
        </w:rPr>
        <w:t xml:space="preserve"> </w:t>
      </w:r>
      <w:r w:rsidRPr="00467F48">
        <w:rPr>
          <w:sz w:val="22"/>
          <w:szCs w:val="22"/>
        </w:rPr>
        <w:t>retrasos</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aumento</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costos:</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construcción</w:t>
      </w:r>
      <w:r w:rsidRPr="00467F48" w:rsidR="00657DD7">
        <w:rPr>
          <w:sz w:val="22"/>
          <w:szCs w:val="22"/>
        </w:rPr>
        <w:t xml:space="preserve"> </w:t>
      </w:r>
      <w:r w:rsidRPr="00467F48">
        <w:rPr>
          <w:sz w:val="22"/>
          <w:szCs w:val="22"/>
        </w:rPr>
        <w:t>del</w:t>
      </w:r>
      <w:r w:rsidRPr="00467F48" w:rsidR="00657DD7">
        <w:rPr>
          <w:sz w:val="22"/>
          <w:szCs w:val="22"/>
        </w:rPr>
        <w:t xml:space="preserve"> </w:t>
      </w:r>
      <w:r w:rsidRPr="00467F48">
        <w:rPr>
          <w:sz w:val="22"/>
          <w:szCs w:val="22"/>
        </w:rPr>
        <w:t>Royal</w:t>
      </w:r>
      <w:r w:rsidRPr="00467F48" w:rsidR="00657DD7">
        <w:rPr>
          <w:sz w:val="22"/>
          <w:szCs w:val="22"/>
        </w:rPr>
        <w:t xml:space="preserve"> </w:t>
      </w:r>
      <w:r w:rsidRPr="00467F48">
        <w:rPr>
          <w:sz w:val="22"/>
          <w:szCs w:val="22"/>
        </w:rPr>
        <w:t>Liverpool</w:t>
      </w:r>
      <w:r w:rsidRPr="00467F48" w:rsidR="00657DD7">
        <w:rPr>
          <w:sz w:val="22"/>
          <w:szCs w:val="22"/>
        </w:rPr>
        <w:t xml:space="preserve"> </w:t>
      </w:r>
      <w:proofErr w:type="spellStart"/>
      <w:r w:rsidRPr="00467F48">
        <w:rPr>
          <w:sz w:val="22"/>
          <w:szCs w:val="22"/>
        </w:rPr>
        <w:t>University</w:t>
      </w:r>
      <w:proofErr w:type="spellEnd"/>
      <w:r w:rsidRPr="00467F48" w:rsidR="00657DD7">
        <w:rPr>
          <w:sz w:val="22"/>
          <w:szCs w:val="22"/>
        </w:rPr>
        <w:t xml:space="preserve"> </w:t>
      </w:r>
      <w:r w:rsidRPr="00467F48">
        <w:rPr>
          <w:sz w:val="22"/>
          <w:szCs w:val="22"/>
        </w:rPr>
        <w:t>Hospital</w:t>
      </w:r>
      <w:r w:rsidRPr="00467F48" w:rsidR="00657DD7">
        <w:rPr>
          <w:sz w:val="22"/>
          <w:szCs w:val="22"/>
        </w:rPr>
        <w:t xml:space="preserve"> </w:t>
      </w:r>
      <w:r w:rsidRPr="00467F48">
        <w:rPr>
          <w:sz w:val="22"/>
          <w:szCs w:val="22"/>
        </w:rPr>
        <w:t>(£335</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el</w:t>
      </w:r>
      <w:r w:rsidRPr="00467F48" w:rsidR="00657DD7">
        <w:rPr>
          <w:sz w:val="22"/>
          <w:szCs w:val="22"/>
        </w:rPr>
        <w:t xml:space="preserve"> </w:t>
      </w:r>
      <w:r w:rsidRPr="00467F48">
        <w:rPr>
          <w:sz w:val="22"/>
          <w:szCs w:val="22"/>
        </w:rPr>
        <w:t>Midland</w:t>
      </w:r>
      <w:r w:rsidRPr="00467F48" w:rsidR="00657DD7">
        <w:rPr>
          <w:sz w:val="22"/>
          <w:szCs w:val="22"/>
        </w:rPr>
        <w:t xml:space="preserve"> </w:t>
      </w:r>
      <w:proofErr w:type="spellStart"/>
      <w:r w:rsidRPr="00467F48">
        <w:rPr>
          <w:sz w:val="22"/>
          <w:szCs w:val="22"/>
        </w:rPr>
        <w:t>Metropolitan</w:t>
      </w:r>
      <w:proofErr w:type="spellEnd"/>
      <w:r w:rsidRPr="00467F48" w:rsidR="00657DD7">
        <w:rPr>
          <w:sz w:val="22"/>
          <w:szCs w:val="22"/>
        </w:rPr>
        <w:t xml:space="preserve"> </w:t>
      </w:r>
      <w:r w:rsidRPr="00467F48">
        <w:rPr>
          <w:sz w:val="22"/>
          <w:szCs w:val="22"/>
        </w:rPr>
        <w:t>Hospital</w:t>
      </w:r>
      <w:r w:rsidRPr="00467F48" w:rsidR="00657DD7">
        <w:rPr>
          <w:sz w:val="22"/>
          <w:szCs w:val="22"/>
        </w:rPr>
        <w:t xml:space="preserve"> </w:t>
      </w:r>
      <w:r w:rsidRPr="00467F48">
        <w:rPr>
          <w:sz w:val="22"/>
          <w:szCs w:val="22"/>
        </w:rPr>
        <w:t>(£350</w:t>
      </w:r>
      <w:r w:rsidRPr="00467F48" w:rsidR="00657DD7">
        <w:rPr>
          <w:sz w:val="22"/>
          <w:szCs w:val="22"/>
        </w:rPr>
        <w:t xml:space="preserve"> </w:t>
      </w:r>
      <w:r w:rsidRPr="00467F48">
        <w:rPr>
          <w:sz w:val="22"/>
          <w:szCs w:val="22"/>
        </w:rPr>
        <w:t>millones)</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un</w:t>
      </w:r>
      <w:r w:rsidRPr="00467F48" w:rsidR="00657DD7">
        <w:rPr>
          <w:sz w:val="22"/>
          <w:szCs w:val="22"/>
        </w:rPr>
        <w:t xml:space="preserve"> </w:t>
      </w:r>
      <w:r w:rsidRPr="00467F48">
        <w:rPr>
          <w:sz w:val="22"/>
          <w:szCs w:val="22"/>
        </w:rPr>
        <w:t>proyecto</w:t>
      </w:r>
      <w:r w:rsidRPr="00467F48" w:rsidR="00657DD7">
        <w:rPr>
          <w:sz w:val="22"/>
          <w:szCs w:val="22"/>
        </w:rPr>
        <w:t xml:space="preserve"> </w:t>
      </w:r>
      <w:r w:rsidRPr="00467F48">
        <w:rPr>
          <w:sz w:val="22"/>
          <w:szCs w:val="22"/>
        </w:rPr>
        <w:t>vial</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Aberdeen</w:t>
      </w:r>
      <w:r w:rsidRPr="00467F48" w:rsidR="00657DD7">
        <w:rPr>
          <w:sz w:val="22"/>
          <w:szCs w:val="22"/>
        </w:rPr>
        <w:t xml:space="preserve"> </w:t>
      </w:r>
      <w:r w:rsidRPr="00467F48">
        <w:rPr>
          <w:sz w:val="22"/>
          <w:szCs w:val="22"/>
        </w:rPr>
        <w:t>(Goodley,</w:t>
      </w:r>
      <w:r w:rsidRPr="00467F48" w:rsidR="00657DD7">
        <w:rPr>
          <w:sz w:val="22"/>
          <w:szCs w:val="22"/>
        </w:rPr>
        <w:t xml:space="preserve"> </w:t>
      </w:r>
      <w:r w:rsidRPr="00467F48">
        <w:rPr>
          <w:sz w:val="22"/>
          <w:szCs w:val="22"/>
        </w:rPr>
        <w:t>2018).</w:t>
      </w:r>
      <w:r w:rsidRPr="00467F48" w:rsidR="00657DD7">
        <w:rPr>
          <w:sz w:val="22"/>
          <w:szCs w:val="22"/>
        </w:rPr>
        <w:t xml:space="preserve"> </w:t>
      </w:r>
      <w:r w:rsidRPr="00467F48">
        <w:rPr>
          <w:sz w:val="22"/>
          <w:szCs w:val="22"/>
        </w:rPr>
        <w:t>Estos</w:t>
      </w:r>
      <w:r w:rsidRPr="00467F48" w:rsidR="00657DD7">
        <w:rPr>
          <w:sz w:val="22"/>
          <w:szCs w:val="22"/>
        </w:rPr>
        <w:t xml:space="preserve"> </w:t>
      </w:r>
      <w:r w:rsidRPr="00467F48">
        <w:rPr>
          <w:sz w:val="22"/>
          <w:szCs w:val="22"/>
        </w:rPr>
        <w:t>proyectos</w:t>
      </w:r>
      <w:r w:rsidRPr="00467F48" w:rsidR="00657DD7">
        <w:rPr>
          <w:sz w:val="22"/>
          <w:szCs w:val="22"/>
        </w:rPr>
        <w:t xml:space="preserve"> </w:t>
      </w:r>
      <w:r w:rsidRPr="00467F48">
        <w:rPr>
          <w:sz w:val="22"/>
          <w:szCs w:val="22"/>
        </w:rPr>
        <w:t>se</w:t>
      </w:r>
      <w:r w:rsidRPr="00467F48" w:rsidR="00657DD7">
        <w:rPr>
          <w:sz w:val="22"/>
          <w:szCs w:val="22"/>
        </w:rPr>
        <w:t xml:space="preserve"> </w:t>
      </w:r>
      <w:r w:rsidRPr="00467F48">
        <w:rPr>
          <w:sz w:val="22"/>
          <w:szCs w:val="22"/>
        </w:rPr>
        <w:t>convirtieron</w:t>
      </w:r>
      <w:r w:rsidRPr="00467F48" w:rsidR="00657DD7">
        <w:rPr>
          <w:sz w:val="22"/>
          <w:szCs w:val="22"/>
        </w:rPr>
        <w:t xml:space="preserve"> </w:t>
      </w:r>
      <w:r w:rsidRPr="00467F48">
        <w:rPr>
          <w:sz w:val="22"/>
          <w:szCs w:val="22"/>
        </w:rPr>
        <w:t>en</w:t>
      </w:r>
      <w:r w:rsidRPr="00467F48" w:rsidR="00657DD7">
        <w:rPr>
          <w:sz w:val="22"/>
          <w:szCs w:val="22"/>
        </w:rPr>
        <w:t xml:space="preserve"> </w:t>
      </w:r>
      <w:r w:rsidRPr="00467F48">
        <w:rPr>
          <w:sz w:val="22"/>
          <w:szCs w:val="22"/>
        </w:rPr>
        <w:t>fuentes</w:t>
      </w:r>
      <w:r w:rsidRPr="00467F48" w:rsidR="00657DD7">
        <w:rPr>
          <w:sz w:val="22"/>
          <w:szCs w:val="22"/>
        </w:rPr>
        <w:t xml:space="preserve"> </w:t>
      </w:r>
      <w:r w:rsidRPr="00467F48">
        <w:rPr>
          <w:sz w:val="22"/>
          <w:szCs w:val="22"/>
        </w:rPr>
        <w:t>importantes</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pérdidas</w:t>
      </w:r>
      <w:r w:rsidRPr="00467F48" w:rsidR="00657DD7">
        <w:rPr>
          <w:sz w:val="22"/>
          <w:szCs w:val="22"/>
        </w:rPr>
        <w:t xml:space="preserve"> </w:t>
      </w:r>
      <w:r w:rsidRPr="00467F48">
        <w:rPr>
          <w:sz w:val="22"/>
          <w:szCs w:val="22"/>
        </w:rPr>
        <w:t>y</w:t>
      </w:r>
      <w:r w:rsidRPr="00467F48" w:rsidR="00657DD7">
        <w:rPr>
          <w:sz w:val="22"/>
          <w:szCs w:val="22"/>
        </w:rPr>
        <w:t xml:space="preserve"> </w:t>
      </w:r>
      <w:r w:rsidRPr="00467F48">
        <w:rPr>
          <w:sz w:val="22"/>
          <w:szCs w:val="22"/>
        </w:rPr>
        <w:t>deterioraron</w:t>
      </w:r>
      <w:r w:rsidRPr="00467F48" w:rsidR="00657DD7">
        <w:rPr>
          <w:sz w:val="22"/>
          <w:szCs w:val="22"/>
        </w:rPr>
        <w:t xml:space="preserve"> </w:t>
      </w:r>
      <w:r w:rsidRPr="00467F48">
        <w:rPr>
          <w:sz w:val="22"/>
          <w:szCs w:val="22"/>
        </w:rPr>
        <w:t>rápidamente</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posición</w:t>
      </w:r>
      <w:r w:rsidRPr="00467F48" w:rsidR="00657DD7">
        <w:rPr>
          <w:sz w:val="22"/>
          <w:szCs w:val="22"/>
        </w:rPr>
        <w:t xml:space="preserve"> </w:t>
      </w:r>
      <w:r w:rsidRPr="00467F48">
        <w:rPr>
          <w:sz w:val="22"/>
          <w:szCs w:val="22"/>
        </w:rPr>
        <w:t>financiera</w:t>
      </w:r>
      <w:r w:rsidRPr="00467F48" w:rsidR="00657DD7">
        <w:rPr>
          <w:sz w:val="22"/>
          <w:szCs w:val="22"/>
        </w:rPr>
        <w:t xml:space="preserve"> </w:t>
      </w:r>
      <w:r w:rsidRPr="00467F48">
        <w:rPr>
          <w:sz w:val="22"/>
          <w:szCs w:val="22"/>
        </w:rPr>
        <w:t>de</w:t>
      </w:r>
      <w:r w:rsidRPr="00467F48" w:rsidR="00657DD7">
        <w:rPr>
          <w:sz w:val="22"/>
          <w:szCs w:val="22"/>
        </w:rPr>
        <w:t xml:space="preserve"> </w:t>
      </w:r>
      <w:r w:rsidRPr="00467F48">
        <w:rPr>
          <w:sz w:val="22"/>
          <w:szCs w:val="22"/>
        </w:rPr>
        <w:t>la</w:t>
      </w:r>
      <w:r w:rsidRPr="00467F48" w:rsidR="00657DD7">
        <w:rPr>
          <w:sz w:val="22"/>
          <w:szCs w:val="22"/>
        </w:rPr>
        <w:t xml:space="preserve"> </w:t>
      </w:r>
      <w:r w:rsidRPr="00467F48">
        <w:rPr>
          <w:sz w:val="22"/>
          <w:szCs w:val="22"/>
        </w:rPr>
        <w:t>compañía.</w:t>
      </w:r>
    </w:p>
    <w:p w:rsidR="00192B05" w:rsidP="004159DA" w:rsidRDefault="00192B05" w14:paraId="5DAAF789" w14:textId="4FFEBD68">
      <w:pPr>
        <w:spacing w:line="276" w:lineRule="auto"/>
        <w:jc w:val="both"/>
        <w:rPr>
          <w:sz w:val="22"/>
          <w:szCs w:val="22"/>
        </w:rPr>
      </w:pPr>
      <w:r w:rsidRPr="00467F48">
        <w:rPr>
          <w:sz w:val="22"/>
          <w:szCs w:val="22"/>
        </w:rPr>
        <w:t>Sin</w:t>
      </w:r>
      <w:r w:rsidR="00B10E0B">
        <w:rPr>
          <w:sz w:val="22"/>
          <w:szCs w:val="22"/>
        </w:rPr>
        <w:t xml:space="preserve"> </w:t>
      </w:r>
      <w:r w:rsidRPr="00467F48">
        <w:rPr>
          <w:sz w:val="22"/>
          <w:szCs w:val="22"/>
        </w:rPr>
        <w:t>embargo,</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crisis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2017</w:t>
      </w:r>
      <w:r w:rsidR="00B10E0B">
        <w:rPr>
          <w:sz w:val="22"/>
          <w:szCs w:val="22"/>
        </w:rPr>
        <w:t xml:space="preserve"> </w:t>
      </w:r>
      <w:r w:rsidRPr="00467F48">
        <w:rPr>
          <w:sz w:val="22"/>
          <w:szCs w:val="22"/>
        </w:rPr>
        <w:t>fue</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resultado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decisiones</w:t>
      </w:r>
      <w:r w:rsidR="00B10E0B">
        <w:rPr>
          <w:sz w:val="22"/>
          <w:szCs w:val="22"/>
        </w:rPr>
        <w:t xml:space="preserve"> </w:t>
      </w:r>
      <w:r w:rsidRPr="00467F48">
        <w:rPr>
          <w:sz w:val="22"/>
          <w:szCs w:val="22"/>
        </w:rPr>
        <w:t>estratégicas</w:t>
      </w:r>
      <w:r w:rsidR="00B10E0B">
        <w:rPr>
          <w:sz w:val="22"/>
          <w:szCs w:val="22"/>
        </w:rPr>
        <w:t xml:space="preserve"> </w:t>
      </w:r>
      <w:r w:rsidRPr="00467F48">
        <w:rPr>
          <w:sz w:val="22"/>
          <w:szCs w:val="22"/>
        </w:rPr>
        <w:t>acumuladas</w:t>
      </w:r>
      <w:r w:rsidR="00B10E0B">
        <w:rPr>
          <w:sz w:val="22"/>
          <w:szCs w:val="22"/>
        </w:rPr>
        <w:t xml:space="preserve"> </w:t>
      </w:r>
      <w:r w:rsidRPr="00467F48">
        <w:rPr>
          <w:sz w:val="22"/>
          <w:szCs w:val="22"/>
        </w:rPr>
        <w:t>durante</w:t>
      </w:r>
      <w:r w:rsidR="00B10E0B">
        <w:rPr>
          <w:sz w:val="22"/>
          <w:szCs w:val="22"/>
        </w:rPr>
        <w:t xml:space="preserve"> </w:t>
      </w:r>
      <w:r w:rsidRPr="00467F48">
        <w:rPr>
          <w:sz w:val="22"/>
          <w:szCs w:val="22"/>
        </w:rPr>
        <w:t>varios</w:t>
      </w:r>
      <w:r w:rsidR="00B10E0B">
        <w:rPr>
          <w:sz w:val="22"/>
          <w:szCs w:val="22"/>
        </w:rPr>
        <w:t xml:space="preserve"> </w:t>
      </w:r>
      <w:r w:rsidRPr="00467F48">
        <w:rPr>
          <w:sz w:val="22"/>
          <w:szCs w:val="22"/>
        </w:rPr>
        <w:t>años.</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empresa</w:t>
      </w:r>
      <w:r w:rsidR="00B10E0B">
        <w:rPr>
          <w:sz w:val="22"/>
          <w:szCs w:val="22"/>
        </w:rPr>
        <w:t xml:space="preserve"> </w:t>
      </w:r>
      <w:r w:rsidRPr="00467F48">
        <w:rPr>
          <w:sz w:val="22"/>
          <w:szCs w:val="22"/>
        </w:rPr>
        <w:t>adoptó</w:t>
      </w:r>
      <w:r w:rsidR="00B10E0B">
        <w:rPr>
          <w:sz w:val="22"/>
          <w:szCs w:val="22"/>
        </w:rPr>
        <w:t xml:space="preserve"> </w:t>
      </w:r>
      <w:r w:rsidRPr="00467F48">
        <w:rPr>
          <w:sz w:val="22"/>
          <w:szCs w:val="22"/>
        </w:rPr>
        <w:t>una</w:t>
      </w:r>
      <w:r w:rsidR="00B10E0B">
        <w:rPr>
          <w:sz w:val="22"/>
          <w:szCs w:val="22"/>
        </w:rPr>
        <w:t xml:space="preserve"> </w:t>
      </w:r>
      <w:r w:rsidRPr="00467F48">
        <w:rPr>
          <w:sz w:val="22"/>
          <w:szCs w:val="22"/>
        </w:rPr>
        <w:t>estrategia</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crecimiento</w:t>
      </w:r>
      <w:r w:rsidR="00B10E0B">
        <w:rPr>
          <w:sz w:val="22"/>
          <w:szCs w:val="22"/>
        </w:rPr>
        <w:t xml:space="preserve"> </w:t>
      </w:r>
      <w:r w:rsidRPr="00467F48">
        <w:rPr>
          <w:sz w:val="22"/>
          <w:szCs w:val="22"/>
        </w:rPr>
        <w:t>agresiva</w:t>
      </w:r>
      <w:r w:rsidR="00B10E0B">
        <w:rPr>
          <w:sz w:val="22"/>
          <w:szCs w:val="22"/>
        </w:rPr>
        <w:t xml:space="preserve"> </w:t>
      </w:r>
      <w:r w:rsidRPr="00467F48">
        <w:rPr>
          <w:sz w:val="22"/>
          <w:szCs w:val="22"/>
        </w:rPr>
        <w:t>basada</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adquisiciones,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lugar</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crecimiento</w:t>
      </w:r>
      <w:r w:rsidR="00B10E0B">
        <w:rPr>
          <w:sz w:val="22"/>
          <w:szCs w:val="22"/>
        </w:rPr>
        <w:t xml:space="preserve"> </w:t>
      </w:r>
      <w:r w:rsidRPr="00467F48">
        <w:rPr>
          <w:sz w:val="22"/>
          <w:szCs w:val="22"/>
        </w:rPr>
        <w:t>orgánico,</w:t>
      </w:r>
      <w:r w:rsidR="00B10E0B">
        <w:rPr>
          <w:sz w:val="22"/>
          <w:szCs w:val="22"/>
        </w:rPr>
        <w:t xml:space="preserve"> </w:t>
      </w:r>
      <w:r w:rsidRPr="00467F48">
        <w:rPr>
          <w:sz w:val="22"/>
          <w:szCs w:val="22"/>
        </w:rPr>
        <w:t>con</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objetivo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aumentar</w:t>
      </w:r>
      <w:r w:rsidR="00B10E0B">
        <w:rPr>
          <w:sz w:val="22"/>
          <w:szCs w:val="22"/>
        </w:rPr>
        <w:t xml:space="preserve"> </w:t>
      </w:r>
      <w:r w:rsidRPr="00467F48">
        <w:rPr>
          <w:sz w:val="22"/>
          <w:szCs w:val="22"/>
        </w:rPr>
        <w:t>rápidamente</w:t>
      </w:r>
      <w:r w:rsidR="00B10E0B">
        <w:rPr>
          <w:sz w:val="22"/>
          <w:szCs w:val="22"/>
        </w:rPr>
        <w:t xml:space="preserve"> </w:t>
      </w:r>
      <w:r w:rsidRPr="00467F48">
        <w:rPr>
          <w:sz w:val="22"/>
          <w:szCs w:val="22"/>
        </w:rPr>
        <w:t>sus</w:t>
      </w:r>
      <w:r w:rsidR="00B10E0B">
        <w:rPr>
          <w:sz w:val="22"/>
          <w:szCs w:val="22"/>
        </w:rPr>
        <w:t xml:space="preserve"> </w:t>
      </w:r>
      <w:r w:rsidRPr="00467F48">
        <w:rPr>
          <w:sz w:val="22"/>
          <w:szCs w:val="22"/>
        </w:rPr>
        <w:t>ingresos</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eliminar</w:t>
      </w:r>
      <w:r w:rsidR="00B10E0B">
        <w:rPr>
          <w:sz w:val="22"/>
          <w:szCs w:val="22"/>
        </w:rPr>
        <w:t xml:space="preserve"> </w:t>
      </w:r>
      <w:r w:rsidRPr="00467F48">
        <w:rPr>
          <w:sz w:val="22"/>
          <w:szCs w:val="22"/>
        </w:rPr>
        <w:t>competencia</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mercado.</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este</w:t>
      </w:r>
      <w:r w:rsidR="00B10E0B">
        <w:rPr>
          <w:sz w:val="22"/>
          <w:szCs w:val="22"/>
        </w:rPr>
        <w:t xml:space="preserve"> </w:t>
      </w:r>
      <w:r w:rsidRPr="00467F48">
        <w:rPr>
          <w:sz w:val="22"/>
          <w:szCs w:val="22"/>
        </w:rPr>
        <w:t>proceso</w:t>
      </w:r>
      <w:r w:rsidR="00B10E0B">
        <w:rPr>
          <w:sz w:val="22"/>
          <w:szCs w:val="22"/>
        </w:rPr>
        <w:t xml:space="preserve"> </w:t>
      </w:r>
      <w:r w:rsidRPr="00467F48">
        <w:rPr>
          <w:sz w:val="22"/>
          <w:szCs w:val="22"/>
        </w:rPr>
        <w:t>adquirió</w:t>
      </w:r>
      <w:r w:rsidR="00B10E0B">
        <w:rPr>
          <w:sz w:val="22"/>
          <w:szCs w:val="22"/>
        </w:rPr>
        <w:t xml:space="preserve"> </w:t>
      </w:r>
      <w:proofErr w:type="spellStart"/>
      <w:r w:rsidRPr="00467F48">
        <w:rPr>
          <w:sz w:val="22"/>
          <w:szCs w:val="22"/>
        </w:rPr>
        <w:t>Mowlem</w:t>
      </w:r>
      <w:proofErr w:type="spellEnd"/>
      <w:r w:rsidR="00B10E0B">
        <w:rPr>
          <w:sz w:val="22"/>
          <w:szCs w:val="22"/>
        </w:rPr>
        <w:t xml:space="preserve"> </w:t>
      </w:r>
      <w:r w:rsidRPr="00467F48">
        <w:rPr>
          <w:sz w:val="22"/>
          <w:szCs w:val="22"/>
        </w:rPr>
        <w:t>por</w:t>
      </w:r>
      <w:r w:rsidR="00B10E0B">
        <w:rPr>
          <w:sz w:val="22"/>
          <w:szCs w:val="22"/>
        </w:rPr>
        <w:t xml:space="preserve"> </w:t>
      </w:r>
      <w:r w:rsidRPr="00467F48">
        <w:rPr>
          <w:sz w:val="22"/>
          <w:szCs w:val="22"/>
        </w:rPr>
        <w:t>£350</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2006,</w:t>
      </w:r>
      <w:r w:rsidR="00B10E0B">
        <w:rPr>
          <w:sz w:val="22"/>
          <w:szCs w:val="22"/>
        </w:rPr>
        <w:t xml:space="preserve"> </w:t>
      </w:r>
      <w:r w:rsidRPr="00467F48">
        <w:rPr>
          <w:sz w:val="22"/>
          <w:szCs w:val="22"/>
        </w:rPr>
        <w:t>Alfred</w:t>
      </w:r>
      <w:r w:rsidR="00B10E0B">
        <w:rPr>
          <w:sz w:val="22"/>
          <w:szCs w:val="22"/>
        </w:rPr>
        <w:t xml:space="preserve"> </w:t>
      </w:r>
      <w:r w:rsidRPr="00467F48">
        <w:rPr>
          <w:sz w:val="22"/>
          <w:szCs w:val="22"/>
        </w:rPr>
        <w:t>McAlpine</w:t>
      </w:r>
      <w:r w:rsidR="00B10E0B">
        <w:rPr>
          <w:sz w:val="22"/>
          <w:szCs w:val="22"/>
        </w:rPr>
        <w:t xml:space="preserve"> </w:t>
      </w:r>
      <w:r w:rsidRPr="00467F48">
        <w:rPr>
          <w:sz w:val="22"/>
          <w:szCs w:val="22"/>
        </w:rPr>
        <w:t>por</w:t>
      </w:r>
      <w:r w:rsidR="00B10E0B">
        <w:rPr>
          <w:sz w:val="22"/>
          <w:szCs w:val="22"/>
        </w:rPr>
        <w:t xml:space="preserve"> </w:t>
      </w:r>
      <w:r w:rsidRPr="00467F48">
        <w:rPr>
          <w:sz w:val="22"/>
          <w:szCs w:val="22"/>
        </w:rPr>
        <w:t>£565</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2008</w:t>
      </w:r>
      <w:r w:rsidR="00B10E0B">
        <w:rPr>
          <w:sz w:val="22"/>
          <w:szCs w:val="22"/>
        </w:rPr>
        <w:t xml:space="preserve"> </w:t>
      </w:r>
      <w:r w:rsidRPr="00467F48">
        <w:rPr>
          <w:sz w:val="22"/>
          <w:szCs w:val="22"/>
        </w:rPr>
        <w:t>y</w:t>
      </w:r>
      <w:r w:rsidR="00B10E0B">
        <w:rPr>
          <w:sz w:val="22"/>
          <w:szCs w:val="22"/>
        </w:rPr>
        <w:t xml:space="preserve"> </w:t>
      </w:r>
      <w:proofErr w:type="spellStart"/>
      <w:r w:rsidRPr="00467F48">
        <w:rPr>
          <w:sz w:val="22"/>
          <w:szCs w:val="22"/>
        </w:rPr>
        <w:t>Eaga</w:t>
      </w:r>
      <w:proofErr w:type="spellEnd"/>
      <w:r w:rsidR="00B10E0B">
        <w:rPr>
          <w:sz w:val="22"/>
          <w:szCs w:val="22"/>
        </w:rPr>
        <w:t xml:space="preserve"> </w:t>
      </w:r>
      <w:r w:rsidRPr="00467F48">
        <w:rPr>
          <w:sz w:val="22"/>
          <w:szCs w:val="22"/>
        </w:rPr>
        <w:t>por</w:t>
      </w:r>
      <w:r w:rsidR="00B10E0B">
        <w:rPr>
          <w:sz w:val="22"/>
          <w:szCs w:val="22"/>
        </w:rPr>
        <w:t xml:space="preserve"> </w:t>
      </w:r>
      <w:r w:rsidRPr="00467F48">
        <w:rPr>
          <w:sz w:val="22"/>
          <w:szCs w:val="22"/>
        </w:rPr>
        <w:t>£298</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2011</w:t>
      </w:r>
      <w:r w:rsidR="00B10E0B">
        <w:rPr>
          <w:sz w:val="22"/>
          <w:szCs w:val="22"/>
        </w:rPr>
        <w:t xml:space="preserve"> </w:t>
      </w:r>
      <w:r w:rsidRPr="00467F48">
        <w:rPr>
          <w:sz w:val="22"/>
          <w:szCs w:val="22"/>
        </w:rPr>
        <w:t>(House</w:t>
      </w:r>
      <w:r w:rsidR="00B10E0B">
        <w:rPr>
          <w:sz w:val="22"/>
          <w:szCs w:val="22"/>
        </w:rPr>
        <w:t xml:space="preserve"> </w:t>
      </w:r>
      <w:proofErr w:type="spellStart"/>
      <w:r w:rsidRPr="00467F48">
        <w:rPr>
          <w:sz w:val="22"/>
          <w:szCs w:val="22"/>
        </w:rPr>
        <w:t>of</w:t>
      </w:r>
      <w:proofErr w:type="spellEnd"/>
      <w:r w:rsidR="00B10E0B">
        <w:rPr>
          <w:sz w:val="22"/>
          <w:szCs w:val="22"/>
        </w:rPr>
        <w:t xml:space="preserve"> </w:t>
      </w:r>
      <w:r w:rsidRPr="00467F48">
        <w:rPr>
          <w:sz w:val="22"/>
          <w:szCs w:val="22"/>
        </w:rPr>
        <w:t>Commons,</w:t>
      </w:r>
      <w:r w:rsidR="00B10E0B">
        <w:rPr>
          <w:sz w:val="22"/>
          <w:szCs w:val="22"/>
        </w:rPr>
        <w:t xml:space="preserve"> </w:t>
      </w:r>
      <w:r w:rsidRPr="00467F48">
        <w:rPr>
          <w:sz w:val="22"/>
          <w:szCs w:val="22"/>
        </w:rPr>
        <w:t>2018).</w:t>
      </w:r>
      <w:r w:rsidR="00B10E0B">
        <w:rPr>
          <w:sz w:val="22"/>
          <w:szCs w:val="22"/>
        </w:rPr>
        <w:t xml:space="preserve"> </w:t>
      </w:r>
      <w:r w:rsidRPr="00467F48">
        <w:rPr>
          <w:sz w:val="22"/>
          <w:szCs w:val="22"/>
        </w:rPr>
        <w:t>Estas</w:t>
      </w:r>
      <w:r w:rsidR="00B10E0B">
        <w:rPr>
          <w:sz w:val="22"/>
          <w:szCs w:val="22"/>
        </w:rPr>
        <w:t xml:space="preserve"> </w:t>
      </w:r>
      <w:r w:rsidRPr="00467F48">
        <w:rPr>
          <w:sz w:val="22"/>
          <w:szCs w:val="22"/>
        </w:rPr>
        <w:t>adquisiciones</w:t>
      </w:r>
      <w:r w:rsidR="00B10E0B">
        <w:rPr>
          <w:sz w:val="22"/>
          <w:szCs w:val="22"/>
        </w:rPr>
        <w:t xml:space="preserve"> </w:t>
      </w:r>
      <w:r w:rsidRPr="00467F48">
        <w:rPr>
          <w:sz w:val="22"/>
          <w:szCs w:val="22"/>
        </w:rPr>
        <w:t>se</w:t>
      </w:r>
      <w:r w:rsidR="00B10E0B">
        <w:rPr>
          <w:sz w:val="22"/>
          <w:szCs w:val="22"/>
        </w:rPr>
        <w:t xml:space="preserve"> </w:t>
      </w:r>
      <w:r w:rsidRPr="00467F48">
        <w:rPr>
          <w:sz w:val="22"/>
          <w:szCs w:val="22"/>
        </w:rPr>
        <w:t>realizaron</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precios</w:t>
      </w:r>
      <w:r w:rsidR="00B10E0B">
        <w:rPr>
          <w:sz w:val="22"/>
          <w:szCs w:val="22"/>
        </w:rPr>
        <w:t xml:space="preserve"> </w:t>
      </w:r>
      <w:r w:rsidRPr="00467F48">
        <w:rPr>
          <w:sz w:val="22"/>
          <w:szCs w:val="22"/>
        </w:rPr>
        <w:t>superiores</w:t>
      </w:r>
      <w:r w:rsidR="00B10E0B">
        <w:rPr>
          <w:sz w:val="22"/>
          <w:szCs w:val="22"/>
        </w:rPr>
        <w:t xml:space="preserve"> </w:t>
      </w:r>
      <w:r w:rsidRPr="00467F48">
        <w:rPr>
          <w:sz w:val="22"/>
          <w:szCs w:val="22"/>
        </w:rPr>
        <w:t>al</w:t>
      </w:r>
      <w:r w:rsidR="00B10E0B">
        <w:rPr>
          <w:sz w:val="22"/>
          <w:szCs w:val="22"/>
        </w:rPr>
        <w:t xml:space="preserve"> </w:t>
      </w:r>
      <w:r w:rsidRPr="00467F48">
        <w:rPr>
          <w:sz w:val="22"/>
          <w:szCs w:val="22"/>
        </w:rPr>
        <w:t>valor</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activos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las</w:t>
      </w:r>
      <w:r w:rsidR="00B10E0B">
        <w:rPr>
          <w:sz w:val="22"/>
          <w:szCs w:val="22"/>
        </w:rPr>
        <w:t xml:space="preserve"> </w:t>
      </w:r>
      <w:r w:rsidRPr="00467F48">
        <w:rPr>
          <w:sz w:val="22"/>
          <w:szCs w:val="22"/>
        </w:rPr>
        <w:t>empresas</w:t>
      </w:r>
      <w:r w:rsidR="00B10E0B">
        <w:rPr>
          <w:sz w:val="22"/>
          <w:szCs w:val="22"/>
        </w:rPr>
        <w:t xml:space="preserve"> </w:t>
      </w:r>
      <w:r w:rsidRPr="00467F48">
        <w:rPr>
          <w:sz w:val="22"/>
          <w:szCs w:val="22"/>
        </w:rPr>
        <w:t>compradas</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también</w:t>
      </w:r>
      <w:r w:rsidR="00B10E0B">
        <w:rPr>
          <w:sz w:val="22"/>
          <w:szCs w:val="22"/>
        </w:rPr>
        <w:t xml:space="preserve"> </w:t>
      </w:r>
      <w:r w:rsidRPr="00467F48">
        <w:rPr>
          <w:sz w:val="22"/>
          <w:szCs w:val="22"/>
        </w:rPr>
        <w:t>implicaron</w:t>
      </w:r>
      <w:r w:rsidR="00B10E0B">
        <w:rPr>
          <w:sz w:val="22"/>
          <w:szCs w:val="22"/>
        </w:rPr>
        <w:t xml:space="preserve"> </w:t>
      </w:r>
      <w:r w:rsidRPr="00467F48">
        <w:rPr>
          <w:sz w:val="22"/>
          <w:szCs w:val="22"/>
        </w:rPr>
        <w:t>asumir</w:t>
      </w:r>
      <w:r w:rsidR="00B10E0B">
        <w:rPr>
          <w:sz w:val="22"/>
          <w:szCs w:val="22"/>
        </w:rPr>
        <w:t xml:space="preserve"> </w:t>
      </w:r>
      <w:r w:rsidRPr="00467F48">
        <w:rPr>
          <w:sz w:val="22"/>
          <w:szCs w:val="22"/>
        </w:rPr>
        <w:t>déficits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pensiones.</w:t>
      </w:r>
      <w:r w:rsidR="00B10E0B">
        <w:rPr>
          <w:sz w:val="22"/>
          <w:szCs w:val="22"/>
        </w:rPr>
        <w:t xml:space="preserve"> </w:t>
      </w:r>
      <w:r w:rsidRPr="00467F48">
        <w:rPr>
          <w:sz w:val="22"/>
          <w:szCs w:val="22"/>
        </w:rPr>
        <w:t>Como</w:t>
      </w:r>
      <w:r w:rsidR="00B10E0B">
        <w:rPr>
          <w:sz w:val="22"/>
          <w:szCs w:val="22"/>
        </w:rPr>
        <w:t xml:space="preserve"> </w:t>
      </w:r>
      <w:r w:rsidRPr="00467F48">
        <w:rPr>
          <w:sz w:val="22"/>
          <w:szCs w:val="22"/>
        </w:rPr>
        <w:t>consecuencia,</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deuda</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Carillion</w:t>
      </w:r>
      <w:r w:rsidR="00B10E0B">
        <w:rPr>
          <w:sz w:val="22"/>
          <w:szCs w:val="22"/>
        </w:rPr>
        <w:t xml:space="preserve"> </w:t>
      </w:r>
      <w:r w:rsidRPr="00467F48">
        <w:rPr>
          <w:sz w:val="22"/>
          <w:szCs w:val="22"/>
        </w:rPr>
        <w:t>aumentó</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£242</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2009</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aproximadamente</w:t>
      </w:r>
      <w:r w:rsidR="00B10E0B">
        <w:rPr>
          <w:sz w:val="22"/>
          <w:szCs w:val="22"/>
        </w:rPr>
        <w:t xml:space="preserve"> </w:t>
      </w:r>
      <w:r w:rsidRPr="00467F48">
        <w:rPr>
          <w:sz w:val="22"/>
          <w:szCs w:val="22"/>
        </w:rPr>
        <w:t>£1.300</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enero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2018,</w:t>
      </w:r>
      <w:r w:rsidR="00B10E0B">
        <w:rPr>
          <w:sz w:val="22"/>
          <w:szCs w:val="22"/>
        </w:rPr>
        <w:t xml:space="preserve"> </w:t>
      </w:r>
      <w:r w:rsidRPr="00467F48">
        <w:rPr>
          <w:sz w:val="22"/>
          <w:szCs w:val="22"/>
        </w:rPr>
        <w:t>lo</w:t>
      </w:r>
      <w:r w:rsidR="00B10E0B">
        <w:rPr>
          <w:sz w:val="22"/>
          <w:szCs w:val="22"/>
        </w:rPr>
        <w:t xml:space="preserve"> </w:t>
      </w:r>
      <w:r w:rsidRPr="00467F48">
        <w:rPr>
          <w:sz w:val="22"/>
          <w:szCs w:val="22"/>
        </w:rPr>
        <w:t>que</w:t>
      </w:r>
      <w:r w:rsidR="00B10E0B">
        <w:rPr>
          <w:sz w:val="22"/>
          <w:szCs w:val="22"/>
        </w:rPr>
        <w:t xml:space="preserve"> </w:t>
      </w:r>
      <w:r w:rsidRPr="00467F48">
        <w:rPr>
          <w:sz w:val="22"/>
          <w:szCs w:val="22"/>
        </w:rPr>
        <w:t>debilitó</w:t>
      </w:r>
      <w:r w:rsidR="00B10E0B">
        <w:rPr>
          <w:sz w:val="22"/>
          <w:szCs w:val="22"/>
        </w:rPr>
        <w:t xml:space="preserve"> </w:t>
      </w:r>
      <w:r w:rsidRPr="00467F48">
        <w:rPr>
          <w:sz w:val="22"/>
          <w:szCs w:val="22"/>
        </w:rPr>
        <w:t>gravemente</w:t>
      </w:r>
      <w:r w:rsidR="00B10E0B">
        <w:rPr>
          <w:sz w:val="22"/>
          <w:szCs w:val="22"/>
        </w:rPr>
        <w:t xml:space="preserve"> </w:t>
      </w:r>
      <w:r w:rsidRPr="00467F48">
        <w:rPr>
          <w:sz w:val="22"/>
          <w:szCs w:val="22"/>
        </w:rPr>
        <w:t>su</w:t>
      </w:r>
      <w:r w:rsidR="00B10E0B">
        <w:rPr>
          <w:sz w:val="22"/>
          <w:szCs w:val="22"/>
        </w:rPr>
        <w:t xml:space="preserve"> </w:t>
      </w:r>
      <w:r w:rsidRPr="00467F48">
        <w:rPr>
          <w:sz w:val="22"/>
          <w:szCs w:val="22"/>
        </w:rPr>
        <w:t>estabilidad</w:t>
      </w:r>
      <w:r w:rsidR="00B10E0B">
        <w:rPr>
          <w:sz w:val="22"/>
          <w:szCs w:val="22"/>
        </w:rPr>
        <w:t xml:space="preserve"> </w:t>
      </w:r>
      <w:r w:rsidRPr="00467F48">
        <w:rPr>
          <w:sz w:val="22"/>
          <w:szCs w:val="22"/>
        </w:rPr>
        <w:t>financiera</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contribuyó</w:t>
      </w:r>
      <w:r w:rsidR="00B10E0B">
        <w:rPr>
          <w:sz w:val="22"/>
          <w:szCs w:val="22"/>
        </w:rPr>
        <w:t xml:space="preserve"> </w:t>
      </w:r>
      <w:r w:rsidRPr="00467F48">
        <w:rPr>
          <w:sz w:val="22"/>
          <w:szCs w:val="22"/>
        </w:rPr>
        <w:t>al</w:t>
      </w:r>
      <w:r w:rsidR="00B10E0B">
        <w:rPr>
          <w:sz w:val="22"/>
          <w:szCs w:val="22"/>
        </w:rPr>
        <w:t xml:space="preserve"> </w:t>
      </w:r>
      <w:r w:rsidRPr="00467F48">
        <w:rPr>
          <w:sz w:val="22"/>
          <w:szCs w:val="22"/>
        </w:rPr>
        <w:t>colapso</w:t>
      </w:r>
      <w:r w:rsidR="00B10E0B">
        <w:rPr>
          <w:sz w:val="22"/>
          <w:szCs w:val="22"/>
        </w:rPr>
        <w:t xml:space="preserve"> </w:t>
      </w:r>
      <w:r w:rsidRPr="00467F48">
        <w:rPr>
          <w:sz w:val="22"/>
          <w:szCs w:val="22"/>
        </w:rPr>
        <w:t>final</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empresa.</w:t>
      </w:r>
    </w:p>
    <w:p w:rsidRPr="00467F48" w:rsidR="00467F48" w:rsidP="004159DA" w:rsidRDefault="00467F48" w14:paraId="73CC6AB4" w14:textId="33FB8F4F">
      <w:pPr>
        <w:spacing w:line="276" w:lineRule="auto"/>
        <w:jc w:val="both"/>
        <w:rPr>
          <w:sz w:val="22"/>
          <w:szCs w:val="22"/>
        </w:rPr>
      </w:pPr>
      <w:r w:rsidRPr="00467F48">
        <w:rPr>
          <w:sz w:val="22"/>
          <w:szCs w:val="22"/>
        </w:rPr>
        <w:t>Aunque</w:t>
      </w:r>
      <w:r w:rsidR="00B10E0B">
        <w:rPr>
          <w:sz w:val="22"/>
          <w:szCs w:val="22"/>
        </w:rPr>
        <w:t xml:space="preserve"> </w:t>
      </w:r>
      <w:r w:rsidRPr="00467F48">
        <w:rPr>
          <w:sz w:val="22"/>
          <w:szCs w:val="22"/>
        </w:rPr>
        <w:t>las</w:t>
      </w:r>
      <w:r w:rsidR="00B10E0B">
        <w:rPr>
          <w:sz w:val="22"/>
          <w:szCs w:val="22"/>
        </w:rPr>
        <w:t xml:space="preserve"> </w:t>
      </w:r>
      <w:r w:rsidRPr="00467F48">
        <w:rPr>
          <w:sz w:val="22"/>
          <w:szCs w:val="22"/>
        </w:rPr>
        <w:t>adquisiciones</w:t>
      </w:r>
      <w:r w:rsidR="00B10E0B">
        <w:rPr>
          <w:sz w:val="22"/>
          <w:szCs w:val="22"/>
        </w:rPr>
        <w:t xml:space="preserve"> </w:t>
      </w:r>
      <w:r w:rsidRPr="00467F48">
        <w:rPr>
          <w:sz w:val="22"/>
          <w:szCs w:val="22"/>
        </w:rPr>
        <w:t>permitieron</w:t>
      </w:r>
      <w:r w:rsidR="00B10E0B">
        <w:rPr>
          <w:sz w:val="22"/>
          <w:szCs w:val="22"/>
        </w:rPr>
        <w:t xml:space="preserve"> </w:t>
      </w:r>
      <w:r w:rsidRPr="00467F48">
        <w:rPr>
          <w:sz w:val="22"/>
          <w:szCs w:val="22"/>
        </w:rPr>
        <w:t>consolidar</w:t>
      </w:r>
      <w:r w:rsidR="00B10E0B">
        <w:rPr>
          <w:sz w:val="22"/>
          <w:szCs w:val="22"/>
        </w:rPr>
        <w:t xml:space="preserve"> </w:t>
      </w:r>
      <w:r w:rsidRPr="00467F48">
        <w:rPr>
          <w:sz w:val="22"/>
          <w:szCs w:val="22"/>
        </w:rPr>
        <w:t>un</w:t>
      </w:r>
      <w:r w:rsidR="00B10E0B">
        <w:rPr>
          <w:sz w:val="22"/>
          <w:szCs w:val="22"/>
        </w:rPr>
        <w:t xml:space="preserve"> </w:t>
      </w:r>
      <w:r w:rsidRPr="00467F48">
        <w:rPr>
          <w:sz w:val="22"/>
          <w:szCs w:val="22"/>
        </w:rPr>
        <w:t>portafolio</w:t>
      </w:r>
      <w:r w:rsidR="00B10E0B">
        <w:rPr>
          <w:sz w:val="22"/>
          <w:szCs w:val="22"/>
        </w:rPr>
        <w:t xml:space="preserve"> </w:t>
      </w:r>
      <w:r w:rsidRPr="00467F48">
        <w:rPr>
          <w:sz w:val="22"/>
          <w:szCs w:val="22"/>
        </w:rPr>
        <w:t>empresarial</w:t>
      </w:r>
      <w:r w:rsidR="00B10E0B">
        <w:rPr>
          <w:sz w:val="22"/>
          <w:szCs w:val="22"/>
        </w:rPr>
        <w:t xml:space="preserve"> </w:t>
      </w:r>
      <w:r w:rsidRPr="00467F48">
        <w:rPr>
          <w:sz w:val="22"/>
          <w:szCs w:val="22"/>
        </w:rPr>
        <w:t>amplio</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aparentemente</w:t>
      </w:r>
      <w:r w:rsidR="00B10E0B">
        <w:rPr>
          <w:sz w:val="22"/>
          <w:szCs w:val="22"/>
        </w:rPr>
        <w:t xml:space="preserve"> </w:t>
      </w:r>
      <w:r w:rsidRPr="00467F48">
        <w:rPr>
          <w:sz w:val="22"/>
          <w:szCs w:val="22"/>
        </w:rPr>
        <w:t>sólido,</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elevada</w:t>
      </w:r>
      <w:r w:rsidR="00B10E0B">
        <w:rPr>
          <w:sz w:val="22"/>
          <w:szCs w:val="22"/>
        </w:rPr>
        <w:t xml:space="preserve"> </w:t>
      </w:r>
      <w:r w:rsidRPr="00467F48">
        <w:rPr>
          <w:sz w:val="22"/>
          <w:szCs w:val="22"/>
        </w:rPr>
        <w:t>exposición</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Carillion</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múltiples</w:t>
      </w:r>
      <w:r w:rsidR="00B10E0B">
        <w:rPr>
          <w:sz w:val="22"/>
          <w:szCs w:val="22"/>
        </w:rPr>
        <w:t xml:space="preserve"> </w:t>
      </w:r>
      <w:r w:rsidRPr="00467F48">
        <w:rPr>
          <w:sz w:val="22"/>
          <w:szCs w:val="22"/>
        </w:rPr>
        <w:t>áreas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negocio</w:t>
      </w:r>
      <w:r w:rsidR="00B10E0B">
        <w:rPr>
          <w:sz w:val="22"/>
          <w:szCs w:val="22"/>
        </w:rPr>
        <w:t xml:space="preserve"> </w:t>
      </w:r>
      <w:r w:rsidRPr="00467F48">
        <w:rPr>
          <w:sz w:val="22"/>
          <w:szCs w:val="22"/>
        </w:rPr>
        <w:t>no</w:t>
      </w:r>
      <w:r w:rsidR="00B10E0B">
        <w:rPr>
          <w:sz w:val="22"/>
          <w:szCs w:val="22"/>
        </w:rPr>
        <w:t xml:space="preserve"> </w:t>
      </w:r>
      <w:r w:rsidRPr="00467F48">
        <w:rPr>
          <w:sz w:val="22"/>
          <w:szCs w:val="22"/>
        </w:rPr>
        <w:t>relacionadas</w:t>
      </w:r>
      <w:r w:rsidR="00B10E0B">
        <w:rPr>
          <w:sz w:val="22"/>
          <w:szCs w:val="22"/>
        </w:rPr>
        <w:t xml:space="preserve"> </w:t>
      </w:r>
      <w:r w:rsidRPr="00467F48">
        <w:rPr>
          <w:sz w:val="22"/>
          <w:szCs w:val="22"/>
        </w:rPr>
        <w:t>tanto</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mercados</w:t>
      </w:r>
      <w:r w:rsidR="00B10E0B">
        <w:rPr>
          <w:sz w:val="22"/>
          <w:szCs w:val="22"/>
        </w:rPr>
        <w:t xml:space="preserve"> </w:t>
      </w:r>
      <w:r w:rsidRPr="00467F48">
        <w:rPr>
          <w:sz w:val="22"/>
          <w:szCs w:val="22"/>
        </w:rPr>
        <w:t>nacionales</w:t>
      </w:r>
      <w:r w:rsidR="00B10E0B">
        <w:rPr>
          <w:sz w:val="22"/>
          <w:szCs w:val="22"/>
        </w:rPr>
        <w:t xml:space="preserve"> </w:t>
      </w:r>
      <w:r w:rsidRPr="00467F48">
        <w:rPr>
          <w:sz w:val="22"/>
          <w:szCs w:val="22"/>
        </w:rPr>
        <w:t>como</w:t>
      </w:r>
      <w:r w:rsidR="00B10E0B">
        <w:rPr>
          <w:sz w:val="22"/>
          <w:szCs w:val="22"/>
        </w:rPr>
        <w:t xml:space="preserve"> </w:t>
      </w:r>
      <w:r w:rsidRPr="00467F48">
        <w:rPr>
          <w:sz w:val="22"/>
          <w:szCs w:val="22"/>
        </w:rPr>
        <w:t>internacionales</w:t>
      </w:r>
      <w:r w:rsidR="00B10E0B">
        <w:rPr>
          <w:sz w:val="22"/>
          <w:szCs w:val="22"/>
        </w:rPr>
        <w:t xml:space="preserve"> </w:t>
      </w:r>
      <w:r w:rsidRPr="00467F48">
        <w:rPr>
          <w:sz w:val="22"/>
          <w:szCs w:val="22"/>
        </w:rPr>
        <w:t>incrementó</w:t>
      </w:r>
      <w:r w:rsidR="00B10E0B">
        <w:rPr>
          <w:sz w:val="22"/>
          <w:szCs w:val="22"/>
        </w:rPr>
        <w:t xml:space="preserve"> </w:t>
      </w:r>
      <w:r w:rsidRPr="00467F48">
        <w:rPr>
          <w:sz w:val="22"/>
          <w:szCs w:val="22"/>
        </w:rPr>
        <w:t>significativamente</w:t>
      </w:r>
      <w:r w:rsidR="00B10E0B">
        <w:rPr>
          <w:sz w:val="22"/>
          <w:szCs w:val="22"/>
        </w:rPr>
        <w:t xml:space="preserve"> </w:t>
      </w:r>
      <w:r w:rsidRPr="00467F48">
        <w:rPr>
          <w:sz w:val="22"/>
          <w:szCs w:val="22"/>
        </w:rPr>
        <w:t>su</w:t>
      </w:r>
      <w:r w:rsidR="00B10E0B">
        <w:rPr>
          <w:sz w:val="22"/>
          <w:szCs w:val="22"/>
        </w:rPr>
        <w:t xml:space="preserve"> </w:t>
      </w:r>
      <w:r w:rsidRPr="00467F48">
        <w:rPr>
          <w:sz w:val="22"/>
          <w:szCs w:val="22"/>
        </w:rPr>
        <w:t>nivel</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riesgo</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contribuyó</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su</w:t>
      </w:r>
      <w:r w:rsidR="00B10E0B">
        <w:rPr>
          <w:sz w:val="22"/>
          <w:szCs w:val="22"/>
        </w:rPr>
        <w:t xml:space="preserve"> </w:t>
      </w:r>
      <w:r w:rsidRPr="00467F48">
        <w:rPr>
          <w:sz w:val="22"/>
          <w:szCs w:val="22"/>
        </w:rPr>
        <w:t>eventual</w:t>
      </w:r>
      <w:r w:rsidR="00B10E0B">
        <w:rPr>
          <w:sz w:val="22"/>
          <w:szCs w:val="22"/>
        </w:rPr>
        <w:t xml:space="preserve"> </w:t>
      </w:r>
      <w:r w:rsidRPr="00467F48">
        <w:rPr>
          <w:sz w:val="22"/>
          <w:szCs w:val="22"/>
        </w:rPr>
        <w:t>colapso.</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términos</w:t>
      </w:r>
      <w:r w:rsidR="00B10E0B">
        <w:rPr>
          <w:sz w:val="22"/>
          <w:szCs w:val="22"/>
        </w:rPr>
        <w:t xml:space="preserve"> </w:t>
      </w:r>
      <w:r w:rsidRPr="00467F48">
        <w:rPr>
          <w:sz w:val="22"/>
          <w:szCs w:val="22"/>
        </w:rPr>
        <w:t>generales,</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alta</w:t>
      </w:r>
      <w:r w:rsidR="00B10E0B">
        <w:rPr>
          <w:sz w:val="22"/>
          <w:szCs w:val="22"/>
        </w:rPr>
        <w:t xml:space="preserve"> </w:t>
      </w:r>
      <w:r w:rsidRPr="00467F48">
        <w:rPr>
          <w:sz w:val="22"/>
          <w:szCs w:val="22"/>
        </w:rPr>
        <w:t>dirección</w:t>
      </w:r>
      <w:r w:rsidR="00B10E0B">
        <w:rPr>
          <w:sz w:val="22"/>
          <w:szCs w:val="22"/>
        </w:rPr>
        <w:t xml:space="preserve"> </w:t>
      </w:r>
      <w:r w:rsidRPr="00467F48">
        <w:rPr>
          <w:sz w:val="22"/>
          <w:szCs w:val="22"/>
        </w:rPr>
        <w:t>no</w:t>
      </w:r>
      <w:r w:rsidR="00B10E0B">
        <w:rPr>
          <w:sz w:val="22"/>
          <w:szCs w:val="22"/>
        </w:rPr>
        <w:t xml:space="preserve"> </w:t>
      </w:r>
      <w:r w:rsidRPr="00467F48">
        <w:rPr>
          <w:sz w:val="22"/>
          <w:szCs w:val="22"/>
        </w:rPr>
        <w:t>logró</w:t>
      </w:r>
      <w:r w:rsidR="00B10E0B">
        <w:rPr>
          <w:sz w:val="22"/>
          <w:szCs w:val="22"/>
        </w:rPr>
        <w:t xml:space="preserve"> </w:t>
      </w:r>
      <w:r w:rsidRPr="00467F48">
        <w:rPr>
          <w:sz w:val="22"/>
          <w:szCs w:val="22"/>
        </w:rPr>
        <w:t>enfrentar</w:t>
      </w:r>
      <w:r w:rsidR="00B10E0B">
        <w:rPr>
          <w:sz w:val="22"/>
          <w:szCs w:val="22"/>
        </w:rPr>
        <w:t xml:space="preserve"> </w:t>
      </w:r>
      <w:r w:rsidRPr="00467F48">
        <w:rPr>
          <w:sz w:val="22"/>
          <w:szCs w:val="22"/>
        </w:rPr>
        <w:t>adecuadamente</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reto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comprender,</w:t>
      </w:r>
      <w:r w:rsidR="00B10E0B">
        <w:rPr>
          <w:sz w:val="22"/>
          <w:szCs w:val="22"/>
        </w:rPr>
        <w:t xml:space="preserve"> </w:t>
      </w:r>
      <w:r w:rsidRPr="00467F48">
        <w:rPr>
          <w:sz w:val="22"/>
          <w:szCs w:val="22"/>
        </w:rPr>
        <w:t>coordinar</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administrar</w:t>
      </w:r>
      <w:r w:rsidR="00B10E0B">
        <w:rPr>
          <w:sz w:val="22"/>
          <w:szCs w:val="22"/>
        </w:rPr>
        <w:t xml:space="preserve"> </w:t>
      </w:r>
      <w:r w:rsidRPr="00467F48">
        <w:rPr>
          <w:sz w:val="22"/>
          <w:szCs w:val="22"/>
        </w:rPr>
        <w:t>un</w:t>
      </w:r>
      <w:r w:rsidR="00B10E0B">
        <w:rPr>
          <w:sz w:val="22"/>
          <w:szCs w:val="22"/>
        </w:rPr>
        <w:t xml:space="preserve"> </w:t>
      </w:r>
      <w:r w:rsidRPr="00467F48">
        <w:rPr>
          <w:sz w:val="22"/>
          <w:szCs w:val="22"/>
        </w:rPr>
        <w:t>conjunto</w:t>
      </w:r>
      <w:r w:rsidR="00B10E0B">
        <w:rPr>
          <w:sz w:val="22"/>
          <w:szCs w:val="22"/>
        </w:rPr>
        <w:t xml:space="preserve"> </w:t>
      </w:r>
      <w:r w:rsidRPr="00467F48">
        <w:rPr>
          <w:sz w:val="22"/>
          <w:szCs w:val="22"/>
        </w:rPr>
        <w:t>complejo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actividades</w:t>
      </w:r>
      <w:r w:rsidR="00B10E0B">
        <w:rPr>
          <w:sz w:val="22"/>
          <w:szCs w:val="22"/>
        </w:rPr>
        <w:t xml:space="preserve"> </w:t>
      </w:r>
      <w:r w:rsidRPr="00467F48">
        <w:rPr>
          <w:sz w:val="22"/>
          <w:szCs w:val="22"/>
        </w:rPr>
        <w:t>diversificadas,</w:t>
      </w:r>
      <w:r w:rsidR="00B10E0B">
        <w:rPr>
          <w:sz w:val="22"/>
          <w:szCs w:val="22"/>
        </w:rPr>
        <w:t xml:space="preserve"> </w:t>
      </w:r>
      <w:r w:rsidRPr="00467F48">
        <w:rPr>
          <w:sz w:val="22"/>
          <w:szCs w:val="22"/>
        </w:rPr>
        <w:t>ni</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gestionar</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manera</w:t>
      </w:r>
      <w:r w:rsidR="00B10E0B">
        <w:rPr>
          <w:sz w:val="22"/>
          <w:szCs w:val="22"/>
        </w:rPr>
        <w:t xml:space="preserve"> </w:t>
      </w:r>
      <w:r w:rsidRPr="00467F48">
        <w:rPr>
          <w:sz w:val="22"/>
          <w:szCs w:val="22"/>
        </w:rPr>
        <w:t>efectiva</w:t>
      </w:r>
      <w:r w:rsidR="00B10E0B">
        <w:rPr>
          <w:sz w:val="22"/>
          <w:szCs w:val="22"/>
        </w:rPr>
        <w:t xml:space="preserve"> </w:t>
      </w:r>
      <w:r w:rsidRPr="00467F48">
        <w:rPr>
          <w:sz w:val="22"/>
          <w:szCs w:val="22"/>
        </w:rPr>
        <w:t>las</w:t>
      </w:r>
      <w:r w:rsidR="00B10E0B">
        <w:rPr>
          <w:sz w:val="22"/>
          <w:szCs w:val="22"/>
        </w:rPr>
        <w:t xml:space="preserve"> </w:t>
      </w:r>
      <w:r w:rsidRPr="00467F48">
        <w:rPr>
          <w:sz w:val="22"/>
          <w:szCs w:val="22"/>
        </w:rPr>
        <w:t>relaciones</w:t>
      </w:r>
      <w:r w:rsidR="00B10E0B">
        <w:rPr>
          <w:sz w:val="22"/>
          <w:szCs w:val="22"/>
        </w:rPr>
        <w:t xml:space="preserve"> </w:t>
      </w:r>
      <w:r w:rsidRPr="00467F48">
        <w:rPr>
          <w:sz w:val="22"/>
          <w:szCs w:val="22"/>
        </w:rPr>
        <w:t>con</w:t>
      </w:r>
      <w:r w:rsidR="00B10E0B">
        <w:rPr>
          <w:sz w:val="22"/>
          <w:szCs w:val="22"/>
        </w:rPr>
        <w:t xml:space="preserve"> </w:t>
      </w:r>
      <w:r w:rsidRPr="00467F48">
        <w:rPr>
          <w:sz w:val="22"/>
          <w:szCs w:val="22"/>
        </w:rPr>
        <w:t>numerosos</w:t>
      </w:r>
      <w:r w:rsidR="00B10E0B">
        <w:rPr>
          <w:sz w:val="22"/>
          <w:szCs w:val="22"/>
        </w:rPr>
        <w:t xml:space="preserve"> </w:t>
      </w:r>
      <w:r w:rsidRPr="00467F48">
        <w:rPr>
          <w:sz w:val="22"/>
          <w:szCs w:val="22"/>
        </w:rPr>
        <w:t>socios</w:t>
      </w:r>
      <w:r w:rsidR="00B10E0B">
        <w:rPr>
          <w:sz w:val="22"/>
          <w:szCs w:val="22"/>
        </w:rPr>
        <w:t xml:space="preserve"> </w:t>
      </w:r>
      <w:r w:rsidRPr="00467F48">
        <w:rPr>
          <w:sz w:val="22"/>
          <w:szCs w:val="22"/>
        </w:rPr>
        <w:t>del</w:t>
      </w:r>
      <w:r w:rsidR="00B10E0B">
        <w:rPr>
          <w:sz w:val="22"/>
          <w:szCs w:val="22"/>
        </w:rPr>
        <w:t xml:space="preserve"> </w:t>
      </w:r>
      <w:r w:rsidRPr="00467F48">
        <w:rPr>
          <w:sz w:val="22"/>
          <w:szCs w:val="22"/>
        </w:rPr>
        <w:t>sector</w:t>
      </w:r>
      <w:r w:rsidR="00B10E0B">
        <w:rPr>
          <w:sz w:val="22"/>
          <w:szCs w:val="22"/>
        </w:rPr>
        <w:t xml:space="preserve"> </w:t>
      </w:r>
      <w:r w:rsidRPr="00467F48">
        <w:rPr>
          <w:sz w:val="22"/>
          <w:szCs w:val="22"/>
        </w:rPr>
        <w:t>público</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privado</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distintos</w:t>
      </w:r>
      <w:r w:rsidR="00B10E0B">
        <w:rPr>
          <w:sz w:val="22"/>
          <w:szCs w:val="22"/>
        </w:rPr>
        <w:t xml:space="preserve"> </w:t>
      </w:r>
      <w:r w:rsidRPr="00467F48">
        <w:rPr>
          <w:sz w:val="22"/>
          <w:szCs w:val="22"/>
        </w:rPr>
        <w:t>contextos</w:t>
      </w:r>
      <w:r w:rsidR="00B10E0B">
        <w:rPr>
          <w:sz w:val="22"/>
          <w:szCs w:val="22"/>
        </w:rPr>
        <w:t xml:space="preserve"> </w:t>
      </w:r>
      <w:r w:rsidRPr="00467F48">
        <w:rPr>
          <w:sz w:val="22"/>
          <w:szCs w:val="22"/>
        </w:rPr>
        <w:t>institucionales</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geográficos</w:t>
      </w:r>
      <w:r w:rsidR="00C33BB6">
        <w:rPr>
          <w:sz w:val="22"/>
          <w:szCs w:val="22"/>
        </w:rPr>
        <w:t xml:space="preserve"> </w:t>
      </w:r>
      <w:r w:rsidRPr="00467F48" w:rsidR="00C33BB6">
        <w:rPr>
          <w:sz w:val="22"/>
          <w:szCs w:val="22"/>
        </w:rPr>
        <w:t>(Carillion, 2017).</w:t>
      </w:r>
    </w:p>
    <w:p w:rsidRPr="00467F48" w:rsidR="00467F48" w:rsidP="004159DA" w:rsidRDefault="00467F48" w14:paraId="53746722" w14:textId="2CF0878B">
      <w:pPr>
        <w:spacing w:line="276" w:lineRule="auto"/>
        <w:jc w:val="both"/>
        <w:rPr>
          <w:sz w:val="22"/>
          <w:szCs w:val="22"/>
        </w:rPr>
      </w:pPr>
      <w:r>
        <w:rPr>
          <w:sz w:val="22"/>
          <w:szCs w:val="22"/>
        </w:rPr>
        <w:t>De</w:t>
      </w:r>
      <w:r w:rsidR="00B10E0B">
        <w:rPr>
          <w:sz w:val="22"/>
          <w:szCs w:val="22"/>
        </w:rPr>
        <w:t xml:space="preserve"> </w:t>
      </w:r>
      <w:r>
        <w:rPr>
          <w:sz w:val="22"/>
          <w:szCs w:val="22"/>
        </w:rPr>
        <w:t>igual</w:t>
      </w:r>
      <w:r w:rsidR="00B10E0B">
        <w:rPr>
          <w:sz w:val="22"/>
          <w:szCs w:val="22"/>
        </w:rPr>
        <w:t xml:space="preserve"> </w:t>
      </w:r>
      <w:r>
        <w:rPr>
          <w:sz w:val="22"/>
          <w:szCs w:val="22"/>
        </w:rPr>
        <w:t>forma</w:t>
      </w:r>
      <w:r w:rsidRPr="00467F48">
        <w:rPr>
          <w:sz w:val="22"/>
          <w:szCs w:val="22"/>
        </w:rPr>
        <w:t>,</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organización</w:t>
      </w:r>
      <w:r w:rsidR="00B10E0B">
        <w:rPr>
          <w:sz w:val="22"/>
          <w:szCs w:val="22"/>
        </w:rPr>
        <w:t xml:space="preserve"> </w:t>
      </w:r>
      <w:r w:rsidRPr="00467F48">
        <w:rPr>
          <w:sz w:val="22"/>
          <w:szCs w:val="22"/>
        </w:rPr>
        <w:t>mostró</w:t>
      </w:r>
      <w:r w:rsidR="00B10E0B">
        <w:rPr>
          <w:sz w:val="22"/>
          <w:szCs w:val="22"/>
        </w:rPr>
        <w:t xml:space="preserve"> </w:t>
      </w:r>
      <w:r w:rsidRPr="00467F48">
        <w:rPr>
          <w:sz w:val="22"/>
          <w:szCs w:val="22"/>
        </w:rPr>
        <w:t>dificultades</w:t>
      </w:r>
      <w:r w:rsidR="00B10E0B">
        <w:rPr>
          <w:sz w:val="22"/>
          <w:szCs w:val="22"/>
        </w:rPr>
        <w:t xml:space="preserve"> </w:t>
      </w:r>
      <w:r w:rsidRPr="00467F48">
        <w:rPr>
          <w:sz w:val="22"/>
          <w:szCs w:val="22"/>
        </w:rPr>
        <w:t>para</w:t>
      </w:r>
      <w:r w:rsidR="00B10E0B">
        <w:rPr>
          <w:sz w:val="22"/>
          <w:szCs w:val="22"/>
        </w:rPr>
        <w:t xml:space="preserve"> </w:t>
      </w:r>
      <w:r w:rsidRPr="00467F48">
        <w:rPr>
          <w:sz w:val="22"/>
          <w:szCs w:val="22"/>
        </w:rPr>
        <w:t>controlar</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riesgos</w:t>
      </w:r>
      <w:r w:rsidR="00B10E0B">
        <w:rPr>
          <w:sz w:val="22"/>
          <w:szCs w:val="22"/>
        </w:rPr>
        <w:t xml:space="preserve"> </w:t>
      </w:r>
      <w:r w:rsidRPr="00467F48">
        <w:rPr>
          <w:sz w:val="22"/>
          <w:szCs w:val="22"/>
        </w:rPr>
        <w:t>asociados</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una</w:t>
      </w:r>
      <w:r w:rsidR="00B10E0B">
        <w:rPr>
          <w:sz w:val="22"/>
          <w:szCs w:val="22"/>
        </w:rPr>
        <w:t xml:space="preserve"> </w:t>
      </w:r>
      <w:r w:rsidRPr="00467F48">
        <w:rPr>
          <w:sz w:val="22"/>
          <w:szCs w:val="22"/>
        </w:rPr>
        <w:t>estructura</w:t>
      </w:r>
      <w:r w:rsidR="00B10E0B">
        <w:rPr>
          <w:sz w:val="22"/>
          <w:szCs w:val="22"/>
        </w:rPr>
        <w:t xml:space="preserve"> </w:t>
      </w:r>
      <w:r w:rsidRPr="00467F48">
        <w:rPr>
          <w:sz w:val="22"/>
          <w:szCs w:val="22"/>
        </w:rPr>
        <w:t>corporativa</w:t>
      </w:r>
      <w:r w:rsidR="00B10E0B">
        <w:rPr>
          <w:sz w:val="22"/>
          <w:szCs w:val="22"/>
        </w:rPr>
        <w:t xml:space="preserve"> </w:t>
      </w:r>
      <w:r w:rsidRPr="00467F48">
        <w:rPr>
          <w:sz w:val="22"/>
          <w:szCs w:val="22"/>
        </w:rPr>
        <w:t>cada</w:t>
      </w:r>
      <w:r w:rsidR="00B10E0B">
        <w:rPr>
          <w:sz w:val="22"/>
          <w:szCs w:val="22"/>
        </w:rPr>
        <w:t xml:space="preserve"> </w:t>
      </w:r>
      <w:r w:rsidRPr="00467F48">
        <w:rPr>
          <w:sz w:val="22"/>
          <w:szCs w:val="22"/>
        </w:rPr>
        <w:t>vez</w:t>
      </w:r>
      <w:r w:rsidR="00B10E0B">
        <w:rPr>
          <w:sz w:val="22"/>
          <w:szCs w:val="22"/>
        </w:rPr>
        <w:t xml:space="preserve"> </w:t>
      </w:r>
      <w:r w:rsidRPr="00467F48">
        <w:rPr>
          <w:sz w:val="22"/>
          <w:szCs w:val="22"/>
        </w:rPr>
        <w:t>más</w:t>
      </w:r>
      <w:r w:rsidR="00B10E0B">
        <w:rPr>
          <w:sz w:val="22"/>
          <w:szCs w:val="22"/>
        </w:rPr>
        <w:t xml:space="preserve"> </w:t>
      </w:r>
      <w:r w:rsidRPr="00467F48">
        <w:rPr>
          <w:sz w:val="22"/>
          <w:szCs w:val="22"/>
        </w:rPr>
        <w:t>extensa</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heterogénea.</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expansión</w:t>
      </w:r>
      <w:r w:rsidR="00B10E0B">
        <w:rPr>
          <w:sz w:val="22"/>
          <w:szCs w:val="22"/>
        </w:rPr>
        <w:t xml:space="preserve"> </w:t>
      </w:r>
      <w:r w:rsidRPr="00467F48">
        <w:rPr>
          <w:sz w:val="22"/>
          <w:szCs w:val="22"/>
        </w:rPr>
        <w:t>hacia</w:t>
      </w:r>
      <w:r w:rsidR="00B10E0B">
        <w:rPr>
          <w:sz w:val="22"/>
          <w:szCs w:val="22"/>
        </w:rPr>
        <w:t xml:space="preserve"> </w:t>
      </w:r>
      <w:r w:rsidRPr="00467F48">
        <w:rPr>
          <w:sz w:val="22"/>
          <w:szCs w:val="22"/>
        </w:rPr>
        <w:t>múltiples</w:t>
      </w:r>
      <w:r w:rsidR="00B10E0B">
        <w:rPr>
          <w:sz w:val="22"/>
          <w:szCs w:val="22"/>
        </w:rPr>
        <w:t xml:space="preserve"> </w:t>
      </w:r>
      <w:r w:rsidRPr="00467F48">
        <w:rPr>
          <w:sz w:val="22"/>
          <w:szCs w:val="22"/>
        </w:rPr>
        <w:t>sectores</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jurisdicciones</w:t>
      </w:r>
      <w:r w:rsidR="00B10E0B">
        <w:rPr>
          <w:sz w:val="22"/>
          <w:szCs w:val="22"/>
        </w:rPr>
        <w:t xml:space="preserve"> </w:t>
      </w:r>
      <w:r w:rsidRPr="00467F48">
        <w:rPr>
          <w:sz w:val="22"/>
          <w:szCs w:val="22"/>
        </w:rPr>
        <w:t>generó</w:t>
      </w:r>
      <w:r w:rsidR="00B10E0B">
        <w:rPr>
          <w:sz w:val="22"/>
          <w:szCs w:val="22"/>
        </w:rPr>
        <w:t xml:space="preserve"> </w:t>
      </w:r>
      <w:r w:rsidRPr="00467F48">
        <w:rPr>
          <w:sz w:val="22"/>
          <w:szCs w:val="22"/>
        </w:rPr>
        <w:t>una</w:t>
      </w:r>
      <w:r w:rsidR="00B10E0B">
        <w:rPr>
          <w:sz w:val="22"/>
          <w:szCs w:val="22"/>
        </w:rPr>
        <w:t xml:space="preserve"> </w:t>
      </w:r>
      <w:r w:rsidRPr="00467F48">
        <w:rPr>
          <w:sz w:val="22"/>
          <w:szCs w:val="22"/>
        </w:rPr>
        <w:t>complejidad</w:t>
      </w:r>
      <w:r w:rsidR="00B10E0B">
        <w:rPr>
          <w:sz w:val="22"/>
          <w:szCs w:val="22"/>
        </w:rPr>
        <w:t xml:space="preserve"> </w:t>
      </w:r>
      <w:r w:rsidRPr="00467F48">
        <w:rPr>
          <w:sz w:val="22"/>
          <w:szCs w:val="22"/>
        </w:rPr>
        <w:t>operativa</w:t>
      </w:r>
      <w:r w:rsidR="00B10E0B">
        <w:rPr>
          <w:sz w:val="22"/>
          <w:szCs w:val="22"/>
        </w:rPr>
        <w:t xml:space="preserve"> </w:t>
      </w:r>
      <w:r w:rsidRPr="00467F48">
        <w:rPr>
          <w:sz w:val="22"/>
          <w:szCs w:val="22"/>
        </w:rPr>
        <w:t>considerable</w:t>
      </w:r>
      <w:r w:rsidR="00B10E0B">
        <w:rPr>
          <w:sz w:val="22"/>
          <w:szCs w:val="22"/>
        </w:rPr>
        <w:t xml:space="preserve"> </w:t>
      </w:r>
      <w:r w:rsidRPr="00467F48">
        <w:rPr>
          <w:sz w:val="22"/>
          <w:szCs w:val="22"/>
        </w:rPr>
        <w:t>que</w:t>
      </w:r>
      <w:r w:rsidR="00B10E0B">
        <w:rPr>
          <w:sz w:val="22"/>
          <w:szCs w:val="22"/>
        </w:rPr>
        <w:t xml:space="preserve"> </w:t>
      </w:r>
      <w:r w:rsidRPr="00467F48">
        <w:rPr>
          <w:sz w:val="22"/>
          <w:szCs w:val="22"/>
        </w:rPr>
        <w:t>superó</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capacidad</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supervisión</w:t>
      </w:r>
      <w:r w:rsidR="00B10E0B">
        <w:rPr>
          <w:sz w:val="22"/>
          <w:szCs w:val="22"/>
        </w:rPr>
        <w:t xml:space="preserve"> </w:t>
      </w:r>
      <w:r w:rsidRPr="00467F48">
        <w:rPr>
          <w:sz w:val="22"/>
          <w:szCs w:val="22"/>
        </w:rPr>
        <w:t>estratégica</w:t>
      </w:r>
      <w:r w:rsidR="00B10E0B">
        <w:rPr>
          <w:sz w:val="22"/>
          <w:szCs w:val="22"/>
        </w:rPr>
        <w:t xml:space="preserve"> </w:t>
      </w:r>
      <w:r w:rsidRPr="00467F48">
        <w:rPr>
          <w:sz w:val="22"/>
          <w:szCs w:val="22"/>
        </w:rPr>
        <w:t>del</w:t>
      </w:r>
      <w:r w:rsidR="00B10E0B">
        <w:rPr>
          <w:sz w:val="22"/>
          <w:szCs w:val="22"/>
        </w:rPr>
        <w:t xml:space="preserve"> </w:t>
      </w:r>
      <w:r w:rsidRPr="00467F48">
        <w:rPr>
          <w:sz w:val="22"/>
          <w:szCs w:val="22"/>
        </w:rPr>
        <w:t>equipo</w:t>
      </w:r>
      <w:r w:rsidR="00B10E0B">
        <w:rPr>
          <w:sz w:val="22"/>
          <w:szCs w:val="22"/>
        </w:rPr>
        <w:t xml:space="preserve"> </w:t>
      </w:r>
      <w:r w:rsidRPr="00467F48">
        <w:rPr>
          <w:sz w:val="22"/>
          <w:szCs w:val="22"/>
        </w:rPr>
        <w:t>directivo,</w:t>
      </w:r>
      <w:r w:rsidR="00B10E0B">
        <w:rPr>
          <w:sz w:val="22"/>
          <w:szCs w:val="22"/>
        </w:rPr>
        <w:t xml:space="preserve"> </w:t>
      </w:r>
      <w:r w:rsidRPr="00467F48">
        <w:rPr>
          <w:sz w:val="22"/>
          <w:szCs w:val="22"/>
        </w:rPr>
        <w:t>lo</w:t>
      </w:r>
      <w:r w:rsidR="00B10E0B">
        <w:rPr>
          <w:sz w:val="22"/>
          <w:szCs w:val="22"/>
        </w:rPr>
        <w:t xml:space="preserve"> </w:t>
      </w:r>
      <w:r w:rsidRPr="00467F48">
        <w:rPr>
          <w:sz w:val="22"/>
          <w:szCs w:val="22"/>
        </w:rPr>
        <w:t>que</w:t>
      </w:r>
      <w:r w:rsidR="00B10E0B">
        <w:rPr>
          <w:sz w:val="22"/>
          <w:szCs w:val="22"/>
        </w:rPr>
        <w:t xml:space="preserve"> </w:t>
      </w:r>
      <w:r w:rsidRPr="00467F48">
        <w:rPr>
          <w:sz w:val="22"/>
          <w:szCs w:val="22"/>
        </w:rPr>
        <w:t>debilitó</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mecanismos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gobernanza</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control</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riesgos</w:t>
      </w:r>
      <w:r w:rsidR="00B10E0B">
        <w:rPr>
          <w:sz w:val="22"/>
          <w:szCs w:val="22"/>
        </w:rPr>
        <w:t xml:space="preserve"> </w:t>
      </w:r>
      <w:r w:rsidRPr="00467F48">
        <w:rPr>
          <w:sz w:val="22"/>
          <w:szCs w:val="22"/>
        </w:rPr>
        <w:t>necesarios</w:t>
      </w:r>
      <w:r w:rsidR="00B10E0B">
        <w:rPr>
          <w:sz w:val="22"/>
          <w:szCs w:val="22"/>
        </w:rPr>
        <w:t xml:space="preserve"> </w:t>
      </w:r>
      <w:r w:rsidRPr="00467F48">
        <w:rPr>
          <w:sz w:val="22"/>
          <w:szCs w:val="22"/>
        </w:rPr>
        <w:t>para</w:t>
      </w:r>
      <w:r w:rsidR="00B10E0B">
        <w:rPr>
          <w:sz w:val="22"/>
          <w:szCs w:val="22"/>
        </w:rPr>
        <w:t xml:space="preserve"> </w:t>
      </w:r>
      <w:r w:rsidRPr="00467F48">
        <w:rPr>
          <w:sz w:val="22"/>
          <w:szCs w:val="22"/>
        </w:rPr>
        <w:t>operar</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un</w:t>
      </w:r>
      <w:r w:rsidR="00B10E0B">
        <w:rPr>
          <w:sz w:val="22"/>
          <w:szCs w:val="22"/>
        </w:rPr>
        <w:t xml:space="preserve"> </w:t>
      </w:r>
      <w:r w:rsidRPr="00467F48">
        <w:rPr>
          <w:sz w:val="22"/>
          <w:szCs w:val="22"/>
        </w:rPr>
        <w:t>entorno</w:t>
      </w:r>
      <w:r w:rsidR="00B10E0B">
        <w:rPr>
          <w:sz w:val="22"/>
          <w:szCs w:val="22"/>
        </w:rPr>
        <w:t xml:space="preserve"> </w:t>
      </w:r>
      <w:r w:rsidRPr="00467F48">
        <w:rPr>
          <w:sz w:val="22"/>
          <w:szCs w:val="22"/>
        </w:rPr>
        <w:t>empresarial</w:t>
      </w:r>
      <w:r w:rsidR="00B10E0B">
        <w:rPr>
          <w:sz w:val="22"/>
          <w:szCs w:val="22"/>
        </w:rPr>
        <w:t xml:space="preserve"> </w:t>
      </w:r>
      <w:r w:rsidRPr="00467F48">
        <w:rPr>
          <w:sz w:val="22"/>
          <w:szCs w:val="22"/>
        </w:rPr>
        <w:t>tan</w:t>
      </w:r>
      <w:r w:rsidR="00B10E0B">
        <w:rPr>
          <w:sz w:val="22"/>
          <w:szCs w:val="22"/>
        </w:rPr>
        <w:t xml:space="preserve"> </w:t>
      </w:r>
      <w:r w:rsidRPr="00467F48">
        <w:rPr>
          <w:sz w:val="22"/>
          <w:szCs w:val="22"/>
        </w:rPr>
        <w:t>diversificado.</w:t>
      </w:r>
    </w:p>
    <w:p w:rsidR="00467F48" w:rsidP="004159DA" w:rsidRDefault="00467F48" w14:paraId="4C4603C7" w14:textId="0D00BD84">
      <w:pPr>
        <w:spacing w:line="276" w:lineRule="auto"/>
        <w:jc w:val="both"/>
        <w:rPr>
          <w:sz w:val="22"/>
          <w:szCs w:val="22"/>
        </w:rPr>
      </w:pPr>
      <w:r w:rsidRPr="00467F48">
        <w:rPr>
          <w:sz w:val="22"/>
          <w:szCs w:val="22"/>
        </w:rPr>
        <w:t>A</w:t>
      </w:r>
      <w:r w:rsidR="00B10E0B">
        <w:rPr>
          <w:sz w:val="22"/>
          <w:szCs w:val="22"/>
        </w:rPr>
        <w:t xml:space="preserve"> </w:t>
      </w:r>
      <w:r w:rsidRPr="00467F48">
        <w:rPr>
          <w:sz w:val="22"/>
          <w:szCs w:val="22"/>
        </w:rPr>
        <w:t>pesar</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las</w:t>
      </w:r>
      <w:r w:rsidR="00B10E0B">
        <w:rPr>
          <w:sz w:val="22"/>
          <w:szCs w:val="22"/>
        </w:rPr>
        <w:t xml:space="preserve"> </w:t>
      </w:r>
      <w:r w:rsidRPr="00467F48">
        <w:rPr>
          <w:sz w:val="22"/>
          <w:szCs w:val="22"/>
        </w:rPr>
        <w:t>fluctuaciones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resultados</w:t>
      </w:r>
      <w:r w:rsidR="00B10E0B">
        <w:rPr>
          <w:sz w:val="22"/>
          <w:szCs w:val="22"/>
        </w:rPr>
        <w:t xml:space="preserve"> </w:t>
      </w:r>
      <w:r w:rsidRPr="00467F48">
        <w:rPr>
          <w:sz w:val="22"/>
          <w:szCs w:val="22"/>
        </w:rPr>
        <w:t>financieros,</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directivos</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Carillion</w:t>
      </w:r>
      <w:r w:rsidR="00B10E0B">
        <w:rPr>
          <w:sz w:val="22"/>
          <w:szCs w:val="22"/>
        </w:rPr>
        <w:t xml:space="preserve"> </w:t>
      </w:r>
      <w:r w:rsidRPr="00467F48">
        <w:rPr>
          <w:sz w:val="22"/>
          <w:szCs w:val="22"/>
        </w:rPr>
        <w:t>continuaron</w:t>
      </w:r>
      <w:r w:rsidR="00B10E0B">
        <w:rPr>
          <w:sz w:val="22"/>
          <w:szCs w:val="22"/>
        </w:rPr>
        <w:t xml:space="preserve"> </w:t>
      </w:r>
      <w:r w:rsidRPr="00467F48">
        <w:rPr>
          <w:sz w:val="22"/>
          <w:szCs w:val="22"/>
        </w:rPr>
        <w:t>incrementando</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dividendos</w:t>
      </w:r>
      <w:r w:rsidR="00B10E0B">
        <w:rPr>
          <w:sz w:val="22"/>
          <w:szCs w:val="22"/>
        </w:rPr>
        <w:t xml:space="preserve"> </w:t>
      </w:r>
      <w:r w:rsidRPr="00467F48">
        <w:rPr>
          <w:sz w:val="22"/>
          <w:szCs w:val="22"/>
        </w:rPr>
        <w:t>distribuidos</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los</w:t>
      </w:r>
      <w:r w:rsidR="00B10E0B">
        <w:rPr>
          <w:sz w:val="22"/>
          <w:szCs w:val="22"/>
        </w:rPr>
        <w:t xml:space="preserve"> </w:t>
      </w:r>
      <w:r w:rsidRPr="00467F48">
        <w:rPr>
          <w:sz w:val="22"/>
          <w:szCs w:val="22"/>
        </w:rPr>
        <w:t>accionistas</w:t>
      </w:r>
      <w:r w:rsidR="00B10E0B">
        <w:rPr>
          <w:sz w:val="22"/>
          <w:szCs w:val="22"/>
        </w:rPr>
        <w:t xml:space="preserve"> </w:t>
      </w:r>
      <w:r w:rsidRPr="00467F48">
        <w:rPr>
          <w:sz w:val="22"/>
          <w:szCs w:val="22"/>
        </w:rPr>
        <w:t>con</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propósito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evitar</w:t>
      </w:r>
      <w:r w:rsidR="00B10E0B">
        <w:rPr>
          <w:sz w:val="22"/>
          <w:szCs w:val="22"/>
        </w:rPr>
        <w:t xml:space="preserve"> </w:t>
      </w:r>
      <w:r w:rsidRPr="00467F48">
        <w:rPr>
          <w:sz w:val="22"/>
          <w:szCs w:val="22"/>
        </w:rPr>
        <w:t>señales</w:t>
      </w:r>
      <w:r w:rsidR="00B10E0B">
        <w:rPr>
          <w:sz w:val="22"/>
          <w:szCs w:val="22"/>
        </w:rPr>
        <w:t xml:space="preserve"> </w:t>
      </w:r>
      <w:r w:rsidRPr="00467F48">
        <w:rPr>
          <w:sz w:val="22"/>
          <w:szCs w:val="22"/>
        </w:rPr>
        <w:t>negativas</w:t>
      </w:r>
      <w:r w:rsidR="00B10E0B">
        <w:rPr>
          <w:sz w:val="22"/>
          <w:szCs w:val="22"/>
        </w:rPr>
        <w:t xml:space="preserve"> </w:t>
      </w:r>
      <w:r w:rsidRPr="00467F48">
        <w:rPr>
          <w:sz w:val="22"/>
          <w:szCs w:val="22"/>
        </w:rPr>
        <w:t>hacia</w:t>
      </w:r>
      <w:r w:rsidR="00B10E0B">
        <w:rPr>
          <w:sz w:val="22"/>
          <w:szCs w:val="22"/>
        </w:rPr>
        <w:t xml:space="preserve"> </w:t>
      </w:r>
      <w:r w:rsidRPr="00467F48">
        <w:rPr>
          <w:sz w:val="22"/>
          <w:szCs w:val="22"/>
        </w:rPr>
        <w:t>el</w:t>
      </w:r>
      <w:r w:rsidR="00B10E0B">
        <w:rPr>
          <w:sz w:val="22"/>
          <w:szCs w:val="22"/>
        </w:rPr>
        <w:t xml:space="preserve"> </w:t>
      </w:r>
      <w:r w:rsidRPr="00467F48">
        <w:rPr>
          <w:sz w:val="22"/>
          <w:szCs w:val="22"/>
        </w:rPr>
        <w:t>mercado.</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este</w:t>
      </w:r>
      <w:r w:rsidR="00B10E0B">
        <w:rPr>
          <w:sz w:val="22"/>
          <w:szCs w:val="22"/>
        </w:rPr>
        <w:t xml:space="preserve"> </w:t>
      </w:r>
      <w:r w:rsidRPr="00467F48">
        <w:rPr>
          <w:sz w:val="22"/>
          <w:szCs w:val="22"/>
        </w:rPr>
        <w:t>sentido,</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empresa</w:t>
      </w:r>
      <w:r w:rsidR="00B10E0B">
        <w:rPr>
          <w:sz w:val="22"/>
          <w:szCs w:val="22"/>
        </w:rPr>
        <w:t xml:space="preserve"> </w:t>
      </w:r>
      <w:r w:rsidRPr="00467F48">
        <w:rPr>
          <w:sz w:val="22"/>
          <w:szCs w:val="22"/>
        </w:rPr>
        <w:t>pagó</w:t>
      </w:r>
      <w:r w:rsidR="00B10E0B">
        <w:rPr>
          <w:sz w:val="22"/>
          <w:szCs w:val="22"/>
        </w:rPr>
        <w:t xml:space="preserve"> </w:t>
      </w:r>
      <w:r w:rsidRPr="00467F48">
        <w:rPr>
          <w:sz w:val="22"/>
          <w:szCs w:val="22"/>
        </w:rPr>
        <w:t>£77</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dividendos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2014,</w:t>
      </w:r>
      <w:r w:rsidR="00B10E0B">
        <w:rPr>
          <w:sz w:val="22"/>
          <w:szCs w:val="22"/>
        </w:rPr>
        <w:t xml:space="preserve"> </w:t>
      </w:r>
      <w:r w:rsidRPr="00467F48">
        <w:rPr>
          <w:sz w:val="22"/>
          <w:szCs w:val="22"/>
        </w:rPr>
        <w:t>£80</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2015</w:t>
      </w:r>
      <w:r w:rsidR="00B10E0B">
        <w:rPr>
          <w:sz w:val="22"/>
          <w:szCs w:val="22"/>
        </w:rPr>
        <w:t xml:space="preserve"> </w:t>
      </w:r>
      <w:r w:rsidRPr="00467F48">
        <w:rPr>
          <w:sz w:val="22"/>
          <w:szCs w:val="22"/>
        </w:rPr>
        <w:t>y</w:t>
      </w:r>
      <w:r w:rsidR="00B10E0B">
        <w:rPr>
          <w:sz w:val="22"/>
          <w:szCs w:val="22"/>
        </w:rPr>
        <w:t xml:space="preserve"> </w:t>
      </w:r>
      <w:r w:rsidRPr="00467F48">
        <w:rPr>
          <w:sz w:val="22"/>
          <w:szCs w:val="22"/>
        </w:rPr>
        <w:t>£83</w:t>
      </w:r>
      <w:r w:rsidR="00B10E0B">
        <w:rPr>
          <w:sz w:val="22"/>
          <w:szCs w:val="22"/>
        </w:rPr>
        <w:t xml:space="preserve"> </w:t>
      </w:r>
      <w:r w:rsidRPr="00467F48">
        <w:rPr>
          <w:sz w:val="22"/>
          <w:szCs w:val="22"/>
        </w:rPr>
        <w:t>millones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2016</w:t>
      </w:r>
      <w:r w:rsidR="00B10E0B">
        <w:rPr>
          <w:sz w:val="22"/>
          <w:szCs w:val="22"/>
        </w:rPr>
        <w:t xml:space="preserve"> </w:t>
      </w:r>
      <w:r w:rsidRPr="00467F48">
        <w:rPr>
          <w:sz w:val="22"/>
          <w:szCs w:val="22"/>
        </w:rPr>
        <w:t>(Carillion,</w:t>
      </w:r>
      <w:r w:rsidR="00B10E0B">
        <w:rPr>
          <w:sz w:val="22"/>
          <w:szCs w:val="22"/>
        </w:rPr>
        <w:t xml:space="preserve"> </w:t>
      </w:r>
      <w:r w:rsidRPr="00467F48">
        <w:rPr>
          <w:sz w:val="22"/>
          <w:szCs w:val="22"/>
        </w:rPr>
        <w:t>2014).</w:t>
      </w:r>
      <w:r w:rsidR="00B10E0B">
        <w:rPr>
          <w:sz w:val="22"/>
          <w:szCs w:val="22"/>
        </w:rPr>
        <w:t xml:space="preserve"> </w:t>
      </w:r>
      <w:r w:rsidRPr="00467F48">
        <w:rPr>
          <w:sz w:val="22"/>
          <w:szCs w:val="22"/>
        </w:rPr>
        <w:t>Desde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perspectiva</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teoría</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señalización</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dividendos,</w:t>
      </w:r>
      <w:r w:rsidR="00B10E0B">
        <w:rPr>
          <w:sz w:val="22"/>
          <w:szCs w:val="22"/>
        </w:rPr>
        <w:t xml:space="preserve"> </w:t>
      </w:r>
      <w:r w:rsidRPr="00467F48">
        <w:rPr>
          <w:sz w:val="22"/>
          <w:szCs w:val="22"/>
        </w:rPr>
        <w:t>esta</w:t>
      </w:r>
      <w:r w:rsidR="00B10E0B">
        <w:rPr>
          <w:sz w:val="22"/>
          <w:szCs w:val="22"/>
        </w:rPr>
        <w:t xml:space="preserve"> </w:t>
      </w:r>
      <w:r w:rsidRPr="00467F48">
        <w:rPr>
          <w:sz w:val="22"/>
          <w:szCs w:val="22"/>
        </w:rPr>
        <w:t>política</w:t>
      </w:r>
      <w:r w:rsidR="00B10E0B">
        <w:rPr>
          <w:sz w:val="22"/>
          <w:szCs w:val="22"/>
        </w:rPr>
        <w:t xml:space="preserve"> </w:t>
      </w:r>
      <w:r w:rsidRPr="00467F48">
        <w:rPr>
          <w:sz w:val="22"/>
          <w:szCs w:val="22"/>
        </w:rPr>
        <w:t>buscaba</w:t>
      </w:r>
      <w:r w:rsidR="00B10E0B">
        <w:rPr>
          <w:sz w:val="22"/>
          <w:szCs w:val="22"/>
        </w:rPr>
        <w:t xml:space="preserve"> </w:t>
      </w:r>
      <w:r w:rsidRPr="00467F48">
        <w:rPr>
          <w:sz w:val="22"/>
          <w:szCs w:val="22"/>
        </w:rPr>
        <w:t>transmitir</w:t>
      </w:r>
      <w:r w:rsidR="00B10E0B">
        <w:rPr>
          <w:sz w:val="22"/>
          <w:szCs w:val="22"/>
        </w:rPr>
        <w:t xml:space="preserve"> </w:t>
      </w:r>
      <w:r w:rsidRPr="00467F48">
        <w:rPr>
          <w:sz w:val="22"/>
          <w:szCs w:val="22"/>
        </w:rPr>
        <w:t>una</w:t>
      </w:r>
      <w:r w:rsidR="00B10E0B">
        <w:rPr>
          <w:sz w:val="22"/>
          <w:szCs w:val="22"/>
        </w:rPr>
        <w:t xml:space="preserve"> </w:t>
      </w:r>
      <w:r w:rsidRPr="00467F48">
        <w:rPr>
          <w:sz w:val="22"/>
          <w:szCs w:val="22"/>
        </w:rPr>
        <w:t>imagen</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estabilidad</w:t>
      </w:r>
      <w:r w:rsidR="00B10E0B">
        <w:rPr>
          <w:sz w:val="22"/>
          <w:szCs w:val="22"/>
        </w:rPr>
        <w:t xml:space="preserve"> </w:t>
      </w:r>
      <w:r w:rsidRPr="00467F48">
        <w:rPr>
          <w:sz w:val="22"/>
          <w:szCs w:val="22"/>
        </w:rPr>
        <w:t>financiera</w:t>
      </w:r>
      <w:r w:rsidR="00B10E0B">
        <w:rPr>
          <w:sz w:val="22"/>
          <w:szCs w:val="22"/>
        </w:rPr>
        <w:t xml:space="preserve"> </w:t>
      </w:r>
      <w:r w:rsidRPr="00467F48">
        <w:rPr>
          <w:sz w:val="22"/>
          <w:szCs w:val="22"/>
        </w:rPr>
        <w:t>para</w:t>
      </w:r>
      <w:r w:rsidR="00B10E0B">
        <w:rPr>
          <w:sz w:val="22"/>
          <w:szCs w:val="22"/>
        </w:rPr>
        <w:t xml:space="preserve"> </w:t>
      </w:r>
      <w:r w:rsidRPr="00467F48">
        <w:rPr>
          <w:sz w:val="22"/>
          <w:szCs w:val="22"/>
        </w:rPr>
        <w:t>atraer</w:t>
      </w:r>
      <w:r w:rsidR="00B10E0B">
        <w:rPr>
          <w:sz w:val="22"/>
          <w:szCs w:val="22"/>
        </w:rPr>
        <w:t xml:space="preserve"> </w:t>
      </w:r>
      <w:r w:rsidRPr="00467F48">
        <w:rPr>
          <w:sz w:val="22"/>
          <w:szCs w:val="22"/>
        </w:rPr>
        <w:t>inversionistas,</w:t>
      </w:r>
      <w:r w:rsidR="00B10E0B">
        <w:rPr>
          <w:sz w:val="22"/>
          <w:szCs w:val="22"/>
        </w:rPr>
        <w:t xml:space="preserve"> </w:t>
      </w:r>
      <w:r w:rsidRPr="00467F48">
        <w:rPr>
          <w:sz w:val="22"/>
          <w:szCs w:val="22"/>
        </w:rPr>
        <w:t>al</w:t>
      </w:r>
      <w:r w:rsidR="00B10E0B">
        <w:rPr>
          <w:sz w:val="22"/>
          <w:szCs w:val="22"/>
        </w:rPr>
        <w:t xml:space="preserve"> </w:t>
      </w:r>
      <w:r w:rsidRPr="00467F48">
        <w:rPr>
          <w:sz w:val="22"/>
          <w:szCs w:val="22"/>
        </w:rPr>
        <w:t>tiempo</w:t>
      </w:r>
      <w:r w:rsidR="00B10E0B">
        <w:rPr>
          <w:sz w:val="22"/>
          <w:szCs w:val="22"/>
        </w:rPr>
        <w:t xml:space="preserve"> </w:t>
      </w:r>
      <w:r w:rsidRPr="00467F48">
        <w:rPr>
          <w:sz w:val="22"/>
          <w:szCs w:val="22"/>
        </w:rPr>
        <w:t>que</w:t>
      </w:r>
      <w:r w:rsidR="00B10E0B">
        <w:rPr>
          <w:sz w:val="22"/>
          <w:szCs w:val="22"/>
        </w:rPr>
        <w:t xml:space="preserve"> </w:t>
      </w:r>
      <w:r w:rsidRPr="00467F48">
        <w:rPr>
          <w:sz w:val="22"/>
          <w:szCs w:val="22"/>
        </w:rPr>
        <w:t>contribuía</w:t>
      </w:r>
      <w:r w:rsidR="00B10E0B">
        <w:rPr>
          <w:sz w:val="22"/>
          <w:szCs w:val="22"/>
        </w:rPr>
        <w:t xml:space="preserve"> </w:t>
      </w:r>
      <w:r w:rsidRPr="00467F48">
        <w:rPr>
          <w:sz w:val="22"/>
          <w:szCs w:val="22"/>
        </w:rPr>
        <w:t>a</w:t>
      </w:r>
      <w:r w:rsidR="00B10E0B">
        <w:rPr>
          <w:sz w:val="22"/>
          <w:szCs w:val="22"/>
        </w:rPr>
        <w:t xml:space="preserve"> </w:t>
      </w:r>
      <w:r w:rsidRPr="00467F48">
        <w:rPr>
          <w:sz w:val="22"/>
          <w:szCs w:val="22"/>
        </w:rPr>
        <w:t>ocultar</w:t>
      </w:r>
      <w:r w:rsidR="00B10E0B">
        <w:rPr>
          <w:sz w:val="22"/>
          <w:szCs w:val="22"/>
        </w:rPr>
        <w:t xml:space="preserve"> </w:t>
      </w:r>
      <w:r w:rsidRPr="00467F48">
        <w:rPr>
          <w:sz w:val="22"/>
          <w:szCs w:val="22"/>
        </w:rPr>
        <w:t>o</w:t>
      </w:r>
      <w:r w:rsidR="00B10E0B">
        <w:rPr>
          <w:sz w:val="22"/>
          <w:szCs w:val="22"/>
        </w:rPr>
        <w:t xml:space="preserve"> </w:t>
      </w:r>
      <w:r w:rsidRPr="00467F48">
        <w:rPr>
          <w:sz w:val="22"/>
          <w:szCs w:val="22"/>
        </w:rPr>
        <w:t>minimizar</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percepción</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problemas</w:t>
      </w:r>
      <w:r w:rsidR="00B10E0B">
        <w:rPr>
          <w:sz w:val="22"/>
          <w:szCs w:val="22"/>
        </w:rPr>
        <w:t xml:space="preserve"> </w:t>
      </w:r>
      <w:r w:rsidRPr="00467F48">
        <w:rPr>
          <w:sz w:val="22"/>
          <w:szCs w:val="22"/>
        </w:rPr>
        <w:t>subyacentes</w:t>
      </w:r>
      <w:r w:rsidR="00B10E0B">
        <w:rPr>
          <w:sz w:val="22"/>
          <w:szCs w:val="22"/>
        </w:rPr>
        <w:t xml:space="preserve"> </w:t>
      </w:r>
      <w:r w:rsidRPr="00467F48">
        <w:rPr>
          <w:sz w:val="22"/>
          <w:szCs w:val="22"/>
        </w:rPr>
        <w:t>en</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situación</w:t>
      </w:r>
      <w:r w:rsidR="00B10E0B">
        <w:rPr>
          <w:sz w:val="22"/>
          <w:szCs w:val="22"/>
        </w:rPr>
        <w:t xml:space="preserve"> </w:t>
      </w:r>
      <w:r w:rsidRPr="00467F48">
        <w:rPr>
          <w:sz w:val="22"/>
          <w:szCs w:val="22"/>
        </w:rPr>
        <w:t>económica</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compañía.</w:t>
      </w:r>
    </w:p>
    <w:p w:rsidRPr="00E6664D" w:rsidR="00E6664D" w:rsidP="004159DA" w:rsidRDefault="00E6664D" w14:paraId="17E47861" w14:textId="28E96B4C">
      <w:pPr>
        <w:spacing w:line="276" w:lineRule="auto"/>
        <w:jc w:val="both"/>
        <w:rPr>
          <w:sz w:val="22"/>
          <w:szCs w:val="22"/>
        </w:rPr>
      </w:pPr>
      <w:r w:rsidRPr="00E6664D">
        <w:rPr>
          <w:sz w:val="22"/>
          <w:szCs w:val="22"/>
        </w:rPr>
        <w:t xml:space="preserve">El flujo de caja de Carillion dependía principalmente de contratos de larga duración y presentaba una alta variabilidad, aunque una parte importante de los ingresos provenía de contratos con el gobierno, lo que ofrecía cierta estabilidad (House </w:t>
      </w:r>
      <w:proofErr w:type="spellStart"/>
      <w:r w:rsidRPr="00E6664D">
        <w:rPr>
          <w:sz w:val="22"/>
          <w:szCs w:val="22"/>
        </w:rPr>
        <w:t>of</w:t>
      </w:r>
      <w:proofErr w:type="spellEnd"/>
      <w:r w:rsidRPr="00E6664D">
        <w:rPr>
          <w:sz w:val="22"/>
          <w:szCs w:val="22"/>
        </w:rPr>
        <w:t xml:space="preserve"> Commons, 2018). Para gestionar su liquidez, la empresa retrasaba el pago a sus proveedores por más de 120 días y les ofrecía la posibilidad de </w:t>
      </w:r>
      <w:r w:rsidRPr="00E6664D">
        <w:rPr>
          <w:sz w:val="22"/>
          <w:szCs w:val="22"/>
        </w:rPr>
        <w:lastRenderedPageBreak/>
        <w:t xml:space="preserve">recibir el dinero antes mediante una Facilidad de Pago Anticipado (Early </w:t>
      </w:r>
      <w:proofErr w:type="spellStart"/>
      <w:r w:rsidRPr="00E6664D">
        <w:rPr>
          <w:sz w:val="22"/>
          <w:szCs w:val="22"/>
        </w:rPr>
        <w:t>Repayment</w:t>
      </w:r>
      <w:proofErr w:type="spellEnd"/>
      <w:r w:rsidRPr="00E6664D">
        <w:rPr>
          <w:sz w:val="22"/>
          <w:szCs w:val="22"/>
        </w:rPr>
        <w:t xml:space="preserve"> </w:t>
      </w:r>
      <w:proofErr w:type="spellStart"/>
      <w:r w:rsidRPr="00E6664D">
        <w:rPr>
          <w:sz w:val="22"/>
          <w:szCs w:val="22"/>
        </w:rPr>
        <w:t>Facility</w:t>
      </w:r>
      <w:proofErr w:type="spellEnd"/>
      <w:r w:rsidRPr="00E6664D">
        <w:rPr>
          <w:sz w:val="22"/>
          <w:szCs w:val="22"/>
        </w:rPr>
        <w:t xml:space="preserve">). Este mecanismo permitía a los proveedores adelantar el cobro de sus facturas a través de bancos asociados </w:t>
      </w:r>
      <w:r w:rsidR="000B10CA">
        <w:rPr>
          <w:sz w:val="22"/>
          <w:szCs w:val="22"/>
        </w:rPr>
        <w:t>(</w:t>
      </w:r>
      <w:r w:rsidRPr="00E6664D">
        <w:rPr>
          <w:sz w:val="22"/>
          <w:szCs w:val="22"/>
        </w:rPr>
        <w:t xml:space="preserve">Royal Bank </w:t>
      </w:r>
      <w:proofErr w:type="spellStart"/>
      <w:r w:rsidRPr="00E6664D">
        <w:rPr>
          <w:sz w:val="22"/>
          <w:szCs w:val="22"/>
        </w:rPr>
        <w:t>of</w:t>
      </w:r>
      <w:proofErr w:type="spellEnd"/>
      <w:r w:rsidRPr="00E6664D">
        <w:rPr>
          <w:sz w:val="22"/>
          <w:szCs w:val="22"/>
        </w:rPr>
        <w:t xml:space="preserve"> Scotland, </w:t>
      </w:r>
      <w:proofErr w:type="spellStart"/>
      <w:r w:rsidRPr="00E6664D">
        <w:rPr>
          <w:sz w:val="22"/>
          <w:szCs w:val="22"/>
        </w:rPr>
        <w:t>Lloyds</w:t>
      </w:r>
      <w:proofErr w:type="spellEnd"/>
      <w:r w:rsidRPr="00E6664D">
        <w:rPr>
          <w:sz w:val="22"/>
          <w:szCs w:val="22"/>
        </w:rPr>
        <w:t xml:space="preserve"> y Santander</w:t>
      </w:r>
      <w:r w:rsidR="000B10CA">
        <w:rPr>
          <w:sz w:val="22"/>
          <w:szCs w:val="22"/>
        </w:rPr>
        <w:t>)</w:t>
      </w:r>
      <w:r w:rsidRPr="00E6664D">
        <w:rPr>
          <w:sz w:val="22"/>
          <w:szCs w:val="22"/>
        </w:rPr>
        <w:t xml:space="preserve"> pagando una comisión, mientras que la deuda quedaba transferida a la empresa, que posteriormente debía pagar a los bancos.</w:t>
      </w:r>
    </w:p>
    <w:p w:rsidRPr="00E6664D" w:rsidR="00E6664D" w:rsidP="004159DA" w:rsidRDefault="00E6664D" w14:paraId="75A48583" w14:textId="6D3C999E">
      <w:pPr>
        <w:spacing w:line="276" w:lineRule="auto"/>
        <w:jc w:val="both"/>
        <w:rPr>
          <w:sz w:val="22"/>
          <w:szCs w:val="22"/>
        </w:rPr>
      </w:pPr>
      <w:r w:rsidRPr="00E6664D">
        <w:rPr>
          <w:sz w:val="22"/>
          <w:szCs w:val="22"/>
        </w:rPr>
        <w:t>Esta práctica provocó un aumento considerable de las cuentas por pagar y del endeudamiento, lo que incrementó los riesgos financieros de la compañía. Al mismo tiempo, las cuentas por cobrar crecían más rápido que los ingresos, lo que generaba una presión adicional sobre el flujo de caja y evidenciaba problemas de liquidez. Estas señales indicaban un deterioro progresivo en la situación financiera de la empresa.</w:t>
      </w:r>
    </w:p>
    <w:p w:rsidRPr="00467F48" w:rsidR="00092975" w:rsidP="0099281B" w:rsidRDefault="00E6664D" w14:paraId="4D4E8461" w14:textId="4F53EABC">
      <w:pPr>
        <w:spacing w:line="276" w:lineRule="auto"/>
        <w:jc w:val="both"/>
        <w:rPr>
          <w:sz w:val="22"/>
          <w:szCs w:val="22"/>
        </w:rPr>
      </w:pPr>
      <w:r w:rsidRPr="00E6664D">
        <w:rPr>
          <w:sz w:val="22"/>
          <w:szCs w:val="22"/>
        </w:rPr>
        <w:t xml:space="preserve">A pesar de estas alertas, los sistemas de control y supervisión no detectaron ni señalaron adecuadamente los riesgos. El auditor externo KPMG, que auditó a Carillion durante 19 años, no emitió advertencias en sus informes, mientras que los auditores internos Deloitte y EY tampoco señalaron problemas relevantes en materia de gobernanza, gestión de riesgos o controles internos. Esta larga relación con KPMG generó dudas sobre la posible pérdida de independencia del auditor. De hecho, el informe del Parlamento británico concluyó que la falta de escepticismo profesional de KPMG frente a las prácticas contables de la empresa contribuyó a que estas continuaran sin ser cuestionadas (House </w:t>
      </w:r>
      <w:proofErr w:type="spellStart"/>
      <w:r w:rsidRPr="00E6664D">
        <w:rPr>
          <w:sz w:val="22"/>
          <w:szCs w:val="22"/>
        </w:rPr>
        <w:t>of</w:t>
      </w:r>
      <w:proofErr w:type="spellEnd"/>
      <w:r w:rsidRPr="00E6664D">
        <w:rPr>
          <w:sz w:val="22"/>
          <w:szCs w:val="22"/>
        </w:rPr>
        <w:t xml:space="preserve"> Commons, 2018).</w:t>
      </w:r>
    </w:p>
    <w:p w:rsidR="00103AD4" w:rsidP="00B73B09" w:rsidRDefault="00746D6E" w14:paraId="3A3DCDE7" w14:textId="7DD88528">
      <w:pPr>
        <w:spacing w:line="276" w:lineRule="auto"/>
        <w:jc w:val="both"/>
        <w:rPr>
          <w:sz w:val="22"/>
          <w:szCs w:val="22"/>
        </w:rPr>
      </w:pPr>
      <w:r w:rsidRPr="00467F48">
        <w:rPr>
          <w:sz w:val="22"/>
          <w:szCs w:val="22"/>
        </w:rPr>
        <w:t>El</w:t>
      </w:r>
      <w:r w:rsidR="00B10E0B">
        <w:rPr>
          <w:sz w:val="22"/>
          <w:szCs w:val="22"/>
        </w:rPr>
        <w:t xml:space="preserve"> </w:t>
      </w:r>
      <w:r w:rsidRPr="00467F48">
        <w:rPr>
          <w:sz w:val="22"/>
          <w:szCs w:val="22"/>
        </w:rPr>
        <w:t>caso</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Carillion</w:t>
      </w:r>
      <w:r w:rsidR="00B10E0B">
        <w:rPr>
          <w:sz w:val="22"/>
          <w:szCs w:val="22"/>
        </w:rPr>
        <w:t xml:space="preserve"> </w:t>
      </w:r>
      <w:r w:rsidRPr="00467F48">
        <w:rPr>
          <w:sz w:val="22"/>
          <w:szCs w:val="22"/>
        </w:rPr>
        <w:t>puede,</w:t>
      </w:r>
      <w:r w:rsidR="00B10E0B">
        <w:rPr>
          <w:sz w:val="22"/>
          <w:szCs w:val="22"/>
        </w:rPr>
        <w:t xml:space="preserve"> </w:t>
      </w:r>
      <w:r w:rsidRPr="00467F48">
        <w:rPr>
          <w:sz w:val="22"/>
          <w:szCs w:val="22"/>
        </w:rPr>
        <w:t>por</w:t>
      </w:r>
      <w:r w:rsidR="00B10E0B">
        <w:rPr>
          <w:sz w:val="22"/>
          <w:szCs w:val="22"/>
        </w:rPr>
        <w:t xml:space="preserve"> </w:t>
      </w:r>
      <w:r w:rsidRPr="00467F48">
        <w:rPr>
          <w:sz w:val="22"/>
          <w:szCs w:val="22"/>
        </w:rPr>
        <w:t>lo</w:t>
      </w:r>
      <w:r w:rsidR="00B10E0B">
        <w:rPr>
          <w:sz w:val="22"/>
          <w:szCs w:val="22"/>
        </w:rPr>
        <w:t xml:space="preserve"> </w:t>
      </w:r>
      <w:r w:rsidRPr="00467F48">
        <w:rPr>
          <w:sz w:val="22"/>
          <w:szCs w:val="22"/>
        </w:rPr>
        <w:t>tanto,</w:t>
      </w:r>
      <w:r w:rsidR="00B10E0B">
        <w:rPr>
          <w:sz w:val="22"/>
          <w:szCs w:val="22"/>
        </w:rPr>
        <w:t xml:space="preserve"> </w:t>
      </w:r>
      <w:r w:rsidRPr="00467F48">
        <w:rPr>
          <w:sz w:val="22"/>
          <w:szCs w:val="22"/>
        </w:rPr>
        <w:t>considerarse</w:t>
      </w:r>
      <w:r w:rsidR="00B10E0B">
        <w:rPr>
          <w:sz w:val="22"/>
          <w:szCs w:val="22"/>
        </w:rPr>
        <w:t xml:space="preserve"> </w:t>
      </w:r>
      <w:r w:rsidRPr="00467F48">
        <w:rPr>
          <w:sz w:val="22"/>
          <w:szCs w:val="22"/>
        </w:rPr>
        <w:t>como</w:t>
      </w:r>
      <w:r w:rsidR="00B10E0B">
        <w:rPr>
          <w:sz w:val="22"/>
          <w:szCs w:val="22"/>
        </w:rPr>
        <w:t xml:space="preserve"> </w:t>
      </w:r>
      <w:r w:rsidRPr="00467F48">
        <w:rPr>
          <w:sz w:val="22"/>
          <w:szCs w:val="22"/>
        </w:rPr>
        <w:t>un</w:t>
      </w:r>
      <w:r w:rsidR="00B10E0B">
        <w:rPr>
          <w:sz w:val="22"/>
          <w:szCs w:val="22"/>
        </w:rPr>
        <w:t xml:space="preserve"> </w:t>
      </w:r>
      <w:r w:rsidRPr="00467F48">
        <w:rPr>
          <w:sz w:val="22"/>
          <w:szCs w:val="22"/>
        </w:rPr>
        <w:t>ejemplo</w:t>
      </w:r>
      <w:r w:rsidR="00B10E0B">
        <w:rPr>
          <w:sz w:val="22"/>
          <w:szCs w:val="22"/>
        </w:rPr>
        <w:t xml:space="preserve"> </w:t>
      </w:r>
      <w:r w:rsidRPr="00467F48">
        <w:rPr>
          <w:sz w:val="22"/>
          <w:szCs w:val="22"/>
        </w:rPr>
        <w:t>revelador</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normalización</w:t>
      </w:r>
      <w:r w:rsidR="00B10E0B">
        <w:rPr>
          <w:sz w:val="22"/>
          <w:szCs w:val="22"/>
        </w:rPr>
        <w:t xml:space="preserve"> </w:t>
      </w:r>
      <w:r w:rsidRPr="00467F48">
        <w:rPr>
          <w:sz w:val="22"/>
          <w:szCs w:val="22"/>
        </w:rPr>
        <w:t>de</w:t>
      </w:r>
      <w:r w:rsidR="00B10E0B">
        <w:rPr>
          <w:sz w:val="22"/>
          <w:szCs w:val="22"/>
        </w:rPr>
        <w:t xml:space="preserve"> </w:t>
      </w:r>
      <w:r w:rsidRPr="00467F48">
        <w:rPr>
          <w:sz w:val="22"/>
          <w:szCs w:val="22"/>
        </w:rPr>
        <w:t>la</w:t>
      </w:r>
      <w:r w:rsidR="00B10E0B">
        <w:rPr>
          <w:sz w:val="22"/>
          <w:szCs w:val="22"/>
        </w:rPr>
        <w:t xml:space="preserve"> </w:t>
      </w:r>
      <w:r w:rsidRPr="00467F48">
        <w:rPr>
          <w:sz w:val="22"/>
          <w:szCs w:val="22"/>
        </w:rPr>
        <w:t>desviación</w:t>
      </w:r>
      <w:r w:rsidR="00B10E0B">
        <w:rPr>
          <w:sz w:val="22"/>
          <w:szCs w:val="22"/>
        </w:rPr>
        <w:t xml:space="preserve"> </w:t>
      </w:r>
      <w:r w:rsidRPr="00467F48" w:rsidR="001808E8">
        <w:rPr>
          <w:sz w:val="22"/>
          <w:szCs w:val="22"/>
        </w:rPr>
        <w:t>cuyo</w:t>
      </w:r>
      <w:r w:rsidR="00B10E0B">
        <w:rPr>
          <w:sz w:val="22"/>
          <w:szCs w:val="22"/>
        </w:rPr>
        <w:t xml:space="preserve"> </w:t>
      </w:r>
      <w:r w:rsidRPr="00467F48" w:rsidR="001808E8">
        <w:rPr>
          <w:sz w:val="22"/>
          <w:szCs w:val="22"/>
        </w:rPr>
        <w:t>término</w:t>
      </w:r>
      <w:r w:rsidR="00B10E0B">
        <w:rPr>
          <w:sz w:val="22"/>
          <w:szCs w:val="22"/>
        </w:rPr>
        <w:t xml:space="preserve"> </w:t>
      </w:r>
      <w:r w:rsidRPr="00467F48" w:rsidR="001808E8">
        <w:rPr>
          <w:sz w:val="22"/>
          <w:szCs w:val="22"/>
        </w:rPr>
        <w:t>fue</w:t>
      </w:r>
      <w:r w:rsidR="00B10E0B">
        <w:rPr>
          <w:sz w:val="22"/>
          <w:szCs w:val="22"/>
        </w:rPr>
        <w:t xml:space="preserve"> </w:t>
      </w:r>
      <w:r w:rsidRPr="00467F48" w:rsidR="001808E8">
        <w:rPr>
          <w:sz w:val="22"/>
          <w:szCs w:val="22"/>
        </w:rPr>
        <w:t>explicado</w:t>
      </w:r>
      <w:r w:rsidR="00B10E0B">
        <w:rPr>
          <w:sz w:val="22"/>
          <w:szCs w:val="22"/>
        </w:rPr>
        <w:t xml:space="preserve"> </w:t>
      </w:r>
      <w:r w:rsidRPr="00467F48" w:rsidR="001808E8">
        <w:rPr>
          <w:sz w:val="22"/>
          <w:szCs w:val="22"/>
        </w:rPr>
        <w:t>en</w:t>
      </w:r>
      <w:r w:rsidR="00B10E0B">
        <w:rPr>
          <w:sz w:val="22"/>
          <w:szCs w:val="22"/>
        </w:rPr>
        <w:t xml:space="preserve"> </w:t>
      </w:r>
      <w:r w:rsidRPr="00467F48" w:rsidR="001808E8">
        <w:rPr>
          <w:sz w:val="22"/>
          <w:szCs w:val="22"/>
        </w:rPr>
        <w:t>apartes</w:t>
      </w:r>
      <w:r w:rsidR="00B10E0B">
        <w:rPr>
          <w:sz w:val="22"/>
          <w:szCs w:val="22"/>
        </w:rPr>
        <w:t xml:space="preserve"> </w:t>
      </w:r>
      <w:r w:rsidRPr="00467F48" w:rsidR="001808E8">
        <w:rPr>
          <w:sz w:val="22"/>
          <w:szCs w:val="22"/>
        </w:rPr>
        <w:t>anteriores</w:t>
      </w:r>
      <w:r w:rsidR="00B10E0B">
        <w:rPr>
          <w:sz w:val="22"/>
          <w:szCs w:val="22"/>
        </w:rPr>
        <w:t xml:space="preserve"> </w:t>
      </w:r>
      <w:r w:rsidRPr="00467F48" w:rsidR="001808E8">
        <w:rPr>
          <w:sz w:val="22"/>
          <w:szCs w:val="22"/>
        </w:rPr>
        <w:t>y</w:t>
      </w:r>
      <w:r w:rsidR="00B10E0B">
        <w:rPr>
          <w:sz w:val="22"/>
          <w:szCs w:val="22"/>
        </w:rPr>
        <w:t xml:space="preserve"> </w:t>
      </w:r>
      <w:r w:rsidRPr="00467F48" w:rsidR="001808E8">
        <w:rPr>
          <w:sz w:val="22"/>
          <w:szCs w:val="22"/>
        </w:rPr>
        <w:t>hace</w:t>
      </w:r>
      <w:r w:rsidR="00B10E0B">
        <w:rPr>
          <w:sz w:val="22"/>
          <w:szCs w:val="22"/>
        </w:rPr>
        <w:t xml:space="preserve"> </w:t>
      </w:r>
      <w:r w:rsidRPr="00467F48" w:rsidR="001808E8">
        <w:rPr>
          <w:sz w:val="22"/>
          <w:szCs w:val="22"/>
        </w:rPr>
        <w:t>refere</w:t>
      </w:r>
      <w:r w:rsidRPr="00467F48" w:rsidR="00FB609C">
        <w:rPr>
          <w:sz w:val="22"/>
          <w:szCs w:val="22"/>
        </w:rPr>
        <w:t>ncia</w:t>
      </w:r>
      <w:r w:rsidR="00B10E0B">
        <w:rPr>
          <w:sz w:val="22"/>
          <w:szCs w:val="22"/>
        </w:rPr>
        <w:t xml:space="preserve"> </w:t>
      </w:r>
      <w:r w:rsidRPr="00467F48" w:rsidR="00FB609C">
        <w:rPr>
          <w:sz w:val="22"/>
          <w:szCs w:val="22"/>
        </w:rPr>
        <w:t>a</w:t>
      </w:r>
      <w:r w:rsidR="00B10E0B">
        <w:rPr>
          <w:sz w:val="22"/>
          <w:szCs w:val="22"/>
        </w:rPr>
        <w:t xml:space="preserve"> </w:t>
      </w:r>
      <w:r w:rsidRPr="00467F48" w:rsidR="00FB609C">
        <w:rPr>
          <w:sz w:val="22"/>
          <w:szCs w:val="22"/>
        </w:rPr>
        <w:t>un</w:t>
      </w:r>
      <w:r w:rsidR="00B10E0B">
        <w:rPr>
          <w:sz w:val="22"/>
          <w:szCs w:val="22"/>
        </w:rPr>
        <w:t xml:space="preserve"> </w:t>
      </w:r>
      <w:r w:rsidRPr="005714EC" w:rsidR="0001110E">
        <w:rPr>
          <w:sz w:val="22"/>
          <w:szCs w:val="22"/>
        </w:rPr>
        <w:t>fenómeno</w:t>
      </w:r>
      <w:r w:rsidR="00B10E0B">
        <w:rPr>
          <w:sz w:val="22"/>
          <w:szCs w:val="22"/>
        </w:rPr>
        <w:t xml:space="preserve"> </w:t>
      </w:r>
      <w:r w:rsidRPr="00467F48" w:rsidR="0064279D">
        <w:rPr>
          <w:sz w:val="22"/>
          <w:szCs w:val="22"/>
        </w:rPr>
        <w:t>donde</w:t>
      </w:r>
      <w:r w:rsidR="00B10E0B">
        <w:rPr>
          <w:sz w:val="22"/>
          <w:szCs w:val="22"/>
        </w:rPr>
        <w:t xml:space="preserve"> </w:t>
      </w:r>
      <w:r w:rsidRPr="005714EC" w:rsidR="0001110E">
        <w:rPr>
          <w:sz w:val="22"/>
          <w:szCs w:val="22"/>
        </w:rPr>
        <w:t>los</w:t>
      </w:r>
      <w:r w:rsidR="00B10E0B">
        <w:rPr>
          <w:sz w:val="22"/>
          <w:szCs w:val="22"/>
        </w:rPr>
        <w:t xml:space="preserve"> </w:t>
      </w:r>
      <w:r w:rsidRPr="005714EC" w:rsidR="0001110E">
        <w:rPr>
          <w:sz w:val="22"/>
          <w:szCs w:val="22"/>
        </w:rPr>
        <w:t>individuos</w:t>
      </w:r>
      <w:r w:rsidR="00B10E0B">
        <w:rPr>
          <w:sz w:val="22"/>
          <w:szCs w:val="22"/>
        </w:rPr>
        <w:t xml:space="preserve"> </w:t>
      </w:r>
      <w:r w:rsidRPr="005714EC" w:rsidR="0001110E">
        <w:rPr>
          <w:sz w:val="22"/>
          <w:szCs w:val="22"/>
        </w:rPr>
        <w:t>dentro</w:t>
      </w:r>
      <w:r w:rsidR="00B10E0B">
        <w:rPr>
          <w:sz w:val="22"/>
          <w:szCs w:val="22"/>
        </w:rPr>
        <w:t xml:space="preserve"> </w:t>
      </w:r>
      <w:r w:rsidRPr="005714EC" w:rsidR="0001110E">
        <w:rPr>
          <w:sz w:val="22"/>
          <w:szCs w:val="22"/>
        </w:rPr>
        <w:t>de</w:t>
      </w:r>
      <w:r w:rsidR="00B10E0B">
        <w:rPr>
          <w:sz w:val="22"/>
          <w:szCs w:val="22"/>
        </w:rPr>
        <w:t xml:space="preserve"> </w:t>
      </w:r>
      <w:r w:rsidRPr="005714EC" w:rsidR="0001110E">
        <w:rPr>
          <w:sz w:val="22"/>
          <w:szCs w:val="22"/>
        </w:rPr>
        <w:t>una</w:t>
      </w:r>
      <w:r w:rsidR="00B10E0B">
        <w:rPr>
          <w:sz w:val="22"/>
          <w:szCs w:val="22"/>
        </w:rPr>
        <w:t xml:space="preserve"> </w:t>
      </w:r>
      <w:r w:rsidRPr="005714EC" w:rsidR="0001110E">
        <w:rPr>
          <w:sz w:val="22"/>
          <w:szCs w:val="22"/>
        </w:rPr>
        <w:t>organización</w:t>
      </w:r>
      <w:r w:rsidR="00B10E0B">
        <w:rPr>
          <w:sz w:val="22"/>
          <w:szCs w:val="22"/>
        </w:rPr>
        <w:t xml:space="preserve"> </w:t>
      </w:r>
      <w:r w:rsidRPr="005714EC" w:rsidR="0001110E">
        <w:rPr>
          <w:sz w:val="22"/>
          <w:szCs w:val="22"/>
        </w:rPr>
        <w:t>se</w:t>
      </w:r>
      <w:r w:rsidR="00B10E0B">
        <w:rPr>
          <w:sz w:val="22"/>
          <w:szCs w:val="22"/>
        </w:rPr>
        <w:t xml:space="preserve"> </w:t>
      </w:r>
      <w:r w:rsidRPr="005714EC" w:rsidR="0001110E">
        <w:rPr>
          <w:sz w:val="22"/>
          <w:szCs w:val="22"/>
        </w:rPr>
        <w:t>vuelven</w:t>
      </w:r>
      <w:r w:rsidR="00B10E0B">
        <w:rPr>
          <w:sz w:val="22"/>
          <w:szCs w:val="22"/>
        </w:rPr>
        <w:t xml:space="preserve"> </w:t>
      </w:r>
      <w:r w:rsidRPr="005714EC" w:rsidR="0001110E">
        <w:rPr>
          <w:sz w:val="22"/>
          <w:szCs w:val="22"/>
        </w:rPr>
        <w:t>gradualmente</w:t>
      </w:r>
      <w:r w:rsidR="00B10E0B">
        <w:rPr>
          <w:sz w:val="22"/>
          <w:szCs w:val="22"/>
        </w:rPr>
        <w:t xml:space="preserve"> </w:t>
      </w:r>
      <w:r w:rsidRPr="005714EC" w:rsidR="0001110E">
        <w:rPr>
          <w:sz w:val="22"/>
          <w:szCs w:val="22"/>
        </w:rPr>
        <w:t>insensibles</w:t>
      </w:r>
      <w:r w:rsidR="00B10E0B">
        <w:rPr>
          <w:sz w:val="22"/>
          <w:szCs w:val="22"/>
        </w:rPr>
        <w:t xml:space="preserve"> </w:t>
      </w:r>
      <w:r w:rsidRPr="005714EC" w:rsidR="0001110E">
        <w:rPr>
          <w:sz w:val="22"/>
          <w:szCs w:val="22"/>
        </w:rPr>
        <w:t>a</w:t>
      </w:r>
      <w:r w:rsidR="00B10E0B">
        <w:rPr>
          <w:sz w:val="22"/>
          <w:szCs w:val="22"/>
        </w:rPr>
        <w:t xml:space="preserve"> </w:t>
      </w:r>
      <w:r w:rsidRPr="005714EC" w:rsidR="0001110E">
        <w:rPr>
          <w:sz w:val="22"/>
          <w:szCs w:val="22"/>
        </w:rPr>
        <w:t>las</w:t>
      </w:r>
      <w:r w:rsidR="00B10E0B">
        <w:rPr>
          <w:sz w:val="22"/>
          <w:szCs w:val="22"/>
        </w:rPr>
        <w:t xml:space="preserve"> </w:t>
      </w:r>
      <w:r w:rsidRPr="005714EC" w:rsidR="0001110E">
        <w:rPr>
          <w:sz w:val="22"/>
          <w:szCs w:val="22"/>
        </w:rPr>
        <w:t>prácticas</w:t>
      </w:r>
      <w:r w:rsidR="00B10E0B">
        <w:rPr>
          <w:sz w:val="22"/>
          <w:szCs w:val="22"/>
        </w:rPr>
        <w:t xml:space="preserve"> </w:t>
      </w:r>
      <w:r w:rsidRPr="005714EC" w:rsidR="0001110E">
        <w:rPr>
          <w:sz w:val="22"/>
          <w:szCs w:val="22"/>
        </w:rPr>
        <w:t>desviadas</w:t>
      </w:r>
      <w:r w:rsidR="00B10E0B">
        <w:rPr>
          <w:sz w:val="22"/>
          <w:szCs w:val="22"/>
        </w:rPr>
        <w:t xml:space="preserve"> </w:t>
      </w:r>
      <w:r w:rsidRPr="005714EC" w:rsidR="0001110E">
        <w:rPr>
          <w:sz w:val="22"/>
          <w:szCs w:val="22"/>
        </w:rPr>
        <w:t>hasta</w:t>
      </w:r>
      <w:r w:rsidR="00B10E0B">
        <w:rPr>
          <w:sz w:val="22"/>
          <w:szCs w:val="22"/>
        </w:rPr>
        <w:t xml:space="preserve"> </w:t>
      </w:r>
      <w:r w:rsidRPr="005714EC" w:rsidR="0001110E">
        <w:rPr>
          <w:sz w:val="22"/>
          <w:szCs w:val="22"/>
        </w:rPr>
        <w:t>que</w:t>
      </w:r>
      <w:r w:rsidR="00B10E0B">
        <w:rPr>
          <w:sz w:val="22"/>
          <w:szCs w:val="22"/>
        </w:rPr>
        <w:t xml:space="preserve"> </w:t>
      </w:r>
      <w:r w:rsidRPr="005714EC" w:rsidR="0001110E">
        <w:rPr>
          <w:sz w:val="22"/>
          <w:szCs w:val="22"/>
        </w:rPr>
        <w:t>estas</w:t>
      </w:r>
      <w:r w:rsidR="00B10E0B">
        <w:rPr>
          <w:sz w:val="22"/>
          <w:szCs w:val="22"/>
        </w:rPr>
        <w:t xml:space="preserve"> </w:t>
      </w:r>
      <w:r w:rsidRPr="005714EC" w:rsidR="0001110E">
        <w:rPr>
          <w:sz w:val="22"/>
          <w:szCs w:val="22"/>
        </w:rPr>
        <w:t>dejan</w:t>
      </w:r>
      <w:r w:rsidR="00B10E0B">
        <w:rPr>
          <w:sz w:val="22"/>
          <w:szCs w:val="22"/>
        </w:rPr>
        <w:t xml:space="preserve"> </w:t>
      </w:r>
      <w:r w:rsidRPr="005714EC" w:rsidR="0001110E">
        <w:rPr>
          <w:sz w:val="22"/>
          <w:szCs w:val="22"/>
        </w:rPr>
        <w:t>de</w:t>
      </w:r>
      <w:r w:rsidR="00B10E0B">
        <w:rPr>
          <w:sz w:val="22"/>
          <w:szCs w:val="22"/>
        </w:rPr>
        <w:t xml:space="preserve"> </w:t>
      </w:r>
      <w:r w:rsidRPr="005714EC" w:rsidR="0001110E">
        <w:rPr>
          <w:sz w:val="22"/>
          <w:szCs w:val="22"/>
        </w:rPr>
        <w:t>percibirse</w:t>
      </w:r>
      <w:r w:rsidR="00B10E0B">
        <w:rPr>
          <w:sz w:val="22"/>
          <w:szCs w:val="22"/>
        </w:rPr>
        <w:t xml:space="preserve"> </w:t>
      </w:r>
      <w:r w:rsidRPr="005714EC" w:rsidR="0001110E">
        <w:rPr>
          <w:sz w:val="22"/>
          <w:szCs w:val="22"/>
        </w:rPr>
        <w:t>como</w:t>
      </w:r>
      <w:r w:rsidR="00B10E0B">
        <w:rPr>
          <w:sz w:val="22"/>
          <w:szCs w:val="22"/>
        </w:rPr>
        <w:t xml:space="preserve"> </w:t>
      </w:r>
      <w:r w:rsidRPr="005714EC" w:rsidR="0001110E">
        <w:rPr>
          <w:sz w:val="22"/>
          <w:szCs w:val="22"/>
        </w:rPr>
        <w:t>incorrectas.</w:t>
      </w:r>
      <w:r w:rsidR="00B10E0B">
        <w:rPr>
          <w:sz w:val="22"/>
          <w:szCs w:val="22"/>
        </w:rPr>
        <w:t xml:space="preserve"> </w:t>
      </w:r>
      <w:r w:rsidRPr="00467F48" w:rsidR="00B00673">
        <w:rPr>
          <w:sz w:val="22"/>
          <w:szCs w:val="22"/>
        </w:rPr>
        <w:t>Es</w:t>
      </w:r>
      <w:r w:rsidR="00B10E0B">
        <w:rPr>
          <w:sz w:val="22"/>
          <w:szCs w:val="22"/>
        </w:rPr>
        <w:t xml:space="preserve"> </w:t>
      </w:r>
      <w:r w:rsidRPr="00467F48" w:rsidR="00B00673">
        <w:rPr>
          <w:sz w:val="22"/>
          <w:szCs w:val="22"/>
        </w:rPr>
        <w:t>decir</w:t>
      </w:r>
      <w:r w:rsidRPr="005714EC" w:rsidR="0001110E">
        <w:rPr>
          <w:sz w:val="22"/>
          <w:szCs w:val="22"/>
        </w:rPr>
        <w:t>,</w:t>
      </w:r>
      <w:r w:rsidR="00B10E0B">
        <w:rPr>
          <w:sz w:val="22"/>
          <w:szCs w:val="22"/>
        </w:rPr>
        <w:t xml:space="preserve"> </w:t>
      </w:r>
      <w:r w:rsidRPr="005714EC" w:rsidR="0001110E">
        <w:rPr>
          <w:sz w:val="22"/>
          <w:szCs w:val="22"/>
        </w:rPr>
        <w:t>lo</w:t>
      </w:r>
      <w:r w:rsidR="00B10E0B">
        <w:rPr>
          <w:sz w:val="22"/>
          <w:szCs w:val="22"/>
        </w:rPr>
        <w:t xml:space="preserve"> </w:t>
      </w:r>
      <w:r w:rsidRPr="005714EC" w:rsidR="0001110E">
        <w:rPr>
          <w:sz w:val="22"/>
          <w:szCs w:val="22"/>
        </w:rPr>
        <w:t>que</w:t>
      </w:r>
      <w:r w:rsidR="00B10E0B">
        <w:rPr>
          <w:sz w:val="22"/>
          <w:szCs w:val="22"/>
        </w:rPr>
        <w:t xml:space="preserve"> </w:t>
      </w:r>
      <w:r w:rsidRPr="005714EC" w:rsidR="0001110E">
        <w:rPr>
          <w:sz w:val="22"/>
          <w:szCs w:val="22"/>
        </w:rPr>
        <w:t>en</w:t>
      </w:r>
      <w:r w:rsidR="00B10E0B">
        <w:rPr>
          <w:sz w:val="22"/>
          <w:szCs w:val="22"/>
        </w:rPr>
        <w:t xml:space="preserve"> </w:t>
      </w:r>
      <w:r w:rsidRPr="005714EC" w:rsidR="0001110E">
        <w:rPr>
          <w:sz w:val="22"/>
          <w:szCs w:val="22"/>
        </w:rPr>
        <w:t>retrospectiva</w:t>
      </w:r>
      <w:r w:rsidR="00B10E0B">
        <w:rPr>
          <w:sz w:val="22"/>
          <w:szCs w:val="22"/>
        </w:rPr>
        <w:t xml:space="preserve"> </w:t>
      </w:r>
      <w:r w:rsidRPr="005714EC" w:rsidR="0001110E">
        <w:rPr>
          <w:sz w:val="22"/>
          <w:szCs w:val="22"/>
        </w:rPr>
        <w:t>puede</w:t>
      </w:r>
      <w:r w:rsidR="00B10E0B">
        <w:rPr>
          <w:sz w:val="22"/>
          <w:szCs w:val="22"/>
        </w:rPr>
        <w:t xml:space="preserve"> </w:t>
      </w:r>
      <w:r w:rsidRPr="005714EC" w:rsidR="0001110E">
        <w:rPr>
          <w:sz w:val="22"/>
          <w:szCs w:val="22"/>
        </w:rPr>
        <w:t>parecer</w:t>
      </w:r>
      <w:r w:rsidR="00B10E0B">
        <w:rPr>
          <w:sz w:val="22"/>
          <w:szCs w:val="22"/>
        </w:rPr>
        <w:t xml:space="preserve"> </w:t>
      </w:r>
      <w:r w:rsidRPr="005714EC" w:rsidR="0001110E">
        <w:rPr>
          <w:sz w:val="22"/>
          <w:szCs w:val="22"/>
        </w:rPr>
        <w:t>muy</w:t>
      </w:r>
      <w:r w:rsidR="00B10E0B">
        <w:rPr>
          <w:sz w:val="22"/>
          <w:szCs w:val="22"/>
        </w:rPr>
        <w:t xml:space="preserve"> </w:t>
      </w:r>
      <w:r w:rsidRPr="005714EC" w:rsidR="0001110E">
        <w:rPr>
          <w:sz w:val="22"/>
          <w:szCs w:val="22"/>
        </w:rPr>
        <w:t>riesgoso</w:t>
      </w:r>
      <w:r w:rsidR="00B10E0B">
        <w:rPr>
          <w:sz w:val="22"/>
          <w:szCs w:val="22"/>
        </w:rPr>
        <w:t xml:space="preserve"> </w:t>
      </w:r>
      <w:r w:rsidRPr="005714EC" w:rsidR="0001110E">
        <w:rPr>
          <w:sz w:val="22"/>
          <w:szCs w:val="22"/>
        </w:rPr>
        <w:t>o</w:t>
      </w:r>
      <w:r w:rsidR="00B10E0B">
        <w:rPr>
          <w:sz w:val="22"/>
          <w:szCs w:val="22"/>
        </w:rPr>
        <w:t xml:space="preserve"> </w:t>
      </w:r>
      <w:r w:rsidRPr="005714EC" w:rsidR="0001110E">
        <w:rPr>
          <w:sz w:val="22"/>
          <w:szCs w:val="22"/>
        </w:rPr>
        <w:t>irresponsable</w:t>
      </w:r>
      <w:r w:rsidR="00B10E0B">
        <w:rPr>
          <w:sz w:val="22"/>
          <w:szCs w:val="22"/>
        </w:rPr>
        <w:t xml:space="preserve"> </w:t>
      </w:r>
      <w:r w:rsidRPr="005714EC" w:rsidR="0001110E">
        <w:rPr>
          <w:sz w:val="22"/>
          <w:szCs w:val="22"/>
        </w:rPr>
        <w:t>llega</w:t>
      </w:r>
      <w:r w:rsidR="00B10E0B">
        <w:rPr>
          <w:sz w:val="22"/>
          <w:szCs w:val="22"/>
        </w:rPr>
        <w:t xml:space="preserve"> </w:t>
      </w:r>
      <w:r w:rsidRPr="005714EC" w:rsidR="0001110E">
        <w:rPr>
          <w:sz w:val="22"/>
          <w:szCs w:val="22"/>
        </w:rPr>
        <w:t>a</w:t>
      </w:r>
      <w:r w:rsidR="00B10E0B">
        <w:rPr>
          <w:sz w:val="22"/>
          <w:szCs w:val="22"/>
        </w:rPr>
        <w:t xml:space="preserve"> </w:t>
      </w:r>
      <w:r w:rsidRPr="005714EC" w:rsidR="0001110E">
        <w:rPr>
          <w:sz w:val="22"/>
          <w:szCs w:val="22"/>
        </w:rPr>
        <w:t>ser</w:t>
      </w:r>
      <w:r w:rsidR="00B10E0B">
        <w:rPr>
          <w:sz w:val="22"/>
          <w:szCs w:val="22"/>
        </w:rPr>
        <w:t xml:space="preserve"> </w:t>
      </w:r>
      <w:r w:rsidRPr="005714EC" w:rsidR="0001110E">
        <w:rPr>
          <w:sz w:val="22"/>
          <w:szCs w:val="22"/>
        </w:rPr>
        <w:t>visto</w:t>
      </w:r>
      <w:r w:rsidR="00B10E0B">
        <w:rPr>
          <w:sz w:val="22"/>
          <w:szCs w:val="22"/>
        </w:rPr>
        <w:t xml:space="preserve"> </w:t>
      </w:r>
      <w:r w:rsidRPr="005714EC" w:rsidR="0001110E">
        <w:rPr>
          <w:sz w:val="22"/>
          <w:szCs w:val="22"/>
        </w:rPr>
        <w:t>como</w:t>
      </w:r>
      <w:r w:rsidR="00B10E0B">
        <w:rPr>
          <w:sz w:val="22"/>
          <w:szCs w:val="22"/>
        </w:rPr>
        <w:t xml:space="preserve"> </w:t>
      </w:r>
      <w:r w:rsidRPr="005714EC" w:rsidR="0001110E">
        <w:rPr>
          <w:sz w:val="22"/>
          <w:szCs w:val="22"/>
        </w:rPr>
        <w:t>aceptable</w:t>
      </w:r>
      <w:r w:rsidR="00B10E0B">
        <w:rPr>
          <w:sz w:val="22"/>
          <w:szCs w:val="22"/>
        </w:rPr>
        <w:t xml:space="preserve"> </w:t>
      </w:r>
      <w:r w:rsidRPr="005714EC" w:rsidR="0001110E">
        <w:rPr>
          <w:sz w:val="22"/>
          <w:szCs w:val="22"/>
        </w:rPr>
        <w:t>por</w:t>
      </w:r>
      <w:r w:rsidR="00B10E0B">
        <w:rPr>
          <w:sz w:val="22"/>
          <w:szCs w:val="22"/>
        </w:rPr>
        <w:t xml:space="preserve"> </w:t>
      </w:r>
      <w:r w:rsidRPr="005714EC" w:rsidR="0001110E">
        <w:rPr>
          <w:sz w:val="22"/>
          <w:szCs w:val="22"/>
        </w:rPr>
        <w:t>los</w:t>
      </w:r>
      <w:r w:rsidR="00B10E0B">
        <w:rPr>
          <w:sz w:val="22"/>
          <w:szCs w:val="22"/>
        </w:rPr>
        <w:t xml:space="preserve"> </w:t>
      </w:r>
      <w:r w:rsidRPr="005714EC" w:rsidR="0001110E">
        <w:rPr>
          <w:sz w:val="22"/>
          <w:szCs w:val="22"/>
        </w:rPr>
        <w:t>responsables</w:t>
      </w:r>
      <w:r w:rsidR="00B10E0B">
        <w:rPr>
          <w:sz w:val="22"/>
          <w:szCs w:val="22"/>
        </w:rPr>
        <w:t xml:space="preserve"> </w:t>
      </w:r>
      <w:r w:rsidRPr="005714EC" w:rsidR="0001110E">
        <w:rPr>
          <w:sz w:val="22"/>
          <w:szCs w:val="22"/>
        </w:rPr>
        <w:t>de</w:t>
      </w:r>
      <w:r w:rsidR="00B10E0B">
        <w:rPr>
          <w:sz w:val="22"/>
          <w:szCs w:val="22"/>
        </w:rPr>
        <w:t xml:space="preserve"> </w:t>
      </w:r>
      <w:r w:rsidRPr="005714EC" w:rsidR="0001110E">
        <w:rPr>
          <w:sz w:val="22"/>
          <w:szCs w:val="22"/>
        </w:rPr>
        <w:t>la</w:t>
      </w:r>
      <w:r w:rsidR="00B10E0B">
        <w:rPr>
          <w:sz w:val="22"/>
          <w:szCs w:val="22"/>
        </w:rPr>
        <w:t xml:space="preserve"> </w:t>
      </w:r>
      <w:r w:rsidRPr="005714EC" w:rsidR="0001110E">
        <w:rPr>
          <w:sz w:val="22"/>
          <w:szCs w:val="22"/>
        </w:rPr>
        <w:t>toma</w:t>
      </w:r>
      <w:r w:rsidR="00B10E0B">
        <w:rPr>
          <w:sz w:val="22"/>
          <w:szCs w:val="22"/>
        </w:rPr>
        <w:t xml:space="preserve"> </w:t>
      </w:r>
      <w:r w:rsidRPr="005714EC" w:rsidR="0001110E">
        <w:rPr>
          <w:sz w:val="22"/>
          <w:szCs w:val="22"/>
        </w:rPr>
        <w:t>de</w:t>
      </w:r>
      <w:r w:rsidR="00B10E0B">
        <w:rPr>
          <w:sz w:val="22"/>
          <w:szCs w:val="22"/>
        </w:rPr>
        <w:t xml:space="preserve"> </w:t>
      </w:r>
      <w:r w:rsidRPr="005714EC" w:rsidR="0001110E">
        <w:rPr>
          <w:sz w:val="22"/>
          <w:szCs w:val="22"/>
        </w:rPr>
        <w:t>decisiones</w:t>
      </w:r>
      <w:r w:rsidR="00B10E0B">
        <w:rPr>
          <w:sz w:val="22"/>
          <w:szCs w:val="22"/>
        </w:rPr>
        <w:t xml:space="preserve"> </w:t>
      </w:r>
      <w:r w:rsidRPr="005714EC" w:rsidR="0001110E">
        <w:rPr>
          <w:sz w:val="22"/>
          <w:szCs w:val="22"/>
        </w:rPr>
        <w:t>a</w:t>
      </w:r>
      <w:r w:rsidR="00B10E0B">
        <w:rPr>
          <w:sz w:val="22"/>
          <w:szCs w:val="22"/>
        </w:rPr>
        <w:t xml:space="preserve"> </w:t>
      </w:r>
      <w:r w:rsidRPr="005714EC" w:rsidR="0001110E">
        <w:rPr>
          <w:sz w:val="22"/>
          <w:szCs w:val="22"/>
        </w:rPr>
        <w:t>través</w:t>
      </w:r>
      <w:r w:rsidR="00B10E0B">
        <w:rPr>
          <w:sz w:val="22"/>
          <w:szCs w:val="22"/>
        </w:rPr>
        <w:t xml:space="preserve"> </w:t>
      </w:r>
      <w:r w:rsidRPr="005714EC" w:rsidR="0001110E">
        <w:rPr>
          <w:sz w:val="22"/>
          <w:szCs w:val="22"/>
        </w:rPr>
        <w:t>de</w:t>
      </w:r>
      <w:r w:rsidR="00B10E0B">
        <w:rPr>
          <w:sz w:val="22"/>
          <w:szCs w:val="22"/>
        </w:rPr>
        <w:t xml:space="preserve"> </w:t>
      </w:r>
      <w:r w:rsidRPr="005714EC" w:rsidR="0001110E">
        <w:rPr>
          <w:sz w:val="22"/>
          <w:szCs w:val="22"/>
        </w:rPr>
        <w:t>un</w:t>
      </w:r>
      <w:r w:rsidR="00B10E0B">
        <w:rPr>
          <w:sz w:val="22"/>
          <w:szCs w:val="22"/>
        </w:rPr>
        <w:t xml:space="preserve"> </w:t>
      </w:r>
      <w:r w:rsidRPr="005714EC" w:rsidR="0001110E">
        <w:rPr>
          <w:sz w:val="22"/>
          <w:szCs w:val="22"/>
        </w:rPr>
        <w:t>proceso</w:t>
      </w:r>
      <w:r w:rsidR="00B10E0B">
        <w:rPr>
          <w:sz w:val="22"/>
          <w:szCs w:val="22"/>
        </w:rPr>
        <w:t xml:space="preserve"> </w:t>
      </w:r>
      <w:r w:rsidRPr="005714EC" w:rsidR="0001110E">
        <w:rPr>
          <w:sz w:val="22"/>
          <w:szCs w:val="22"/>
        </w:rPr>
        <w:t>gradual</w:t>
      </w:r>
      <w:r w:rsidR="00B10E0B">
        <w:rPr>
          <w:sz w:val="22"/>
          <w:szCs w:val="22"/>
        </w:rPr>
        <w:t xml:space="preserve"> </w:t>
      </w:r>
      <w:r w:rsidRPr="005714EC" w:rsidR="0001110E">
        <w:rPr>
          <w:sz w:val="22"/>
          <w:szCs w:val="22"/>
        </w:rPr>
        <w:t>que</w:t>
      </w:r>
      <w:r w:rsidR="00B10E0B">
        <w:rPr>
          <w:sz w:val="22"/>
          <w:szCs w:val="22"/>
        </w:rPr>
        <w:t xml:space="preserve"> </w:t>
      </w:r>
      <w:r w:rsidRPr="005714EC" w:rsidR="0001110E">
        <w:rPr>
          <w:sz w:val="22"/>
          <w:szCs w:val="22"/>
        </w:rPr>
        <w:t>evoluciona</w:t>
      </w:r>
      <w:r w:rsidR="00B10E0B">
        <w:rPr>
          <w:sz w:val="22"/>
          <w:szCs w:val="22"/>
        </w:rPr>
        <w:t xml:space="preserve"> </w:t>
      </w:r>
      <w:r w:rsidRPr="005714EC" w:rsidR="0001110E">
        <w:rPr>
          <w:sz w:val="22"/>
          <w:szCs w:val="22"/>
        </w:rPr>
        <w:t>durante</w:t>
      </w:r>
      <w:r w:rsidR="00B10E0B">
        <w:rPr>
          <w:sz w:val="22"/>
          <w:szCs w:val="22"/>
        </w:rPr>
        <w:t xml:space="preserve"> </w:t>
      </w:r>
      <w:r w:rsidRPr="005714EC" w:rsidR="0001110E">
        <w:rPr>
          <w:sz w:val="22"/>
          <w:szCs w:val="22"/>
        </w:rPr>
        <w:t>un</w:t>
      </w:r>
      <w:r w:rsidR="00B10E0B">
        <w:rPr>
          <w:sz w:val="22"/>
          <w:szCs w:val="22"/>
        </w:rPr>
        <w:t xml:space="preserve"> </w:t>
      </w:r>
      <w:r w:rsidRPr="005714EC" w:rsidR="0001110E">
        <w:rPr>
          <w:sz w:val="22"/>
          <w:szCs w:val="22"/>
        </w:rPr>
        <w:t>periodo</w:t>
      </w:r>
      <w:r w:rsidR="00B10E0B">
        <w:rPr>
          <w:sz w:val="22"/>
          <w:szCs w:val="22"/>
        </w:rPr>
        <w:t xml:space="preserve"> </w:t>
      </w:r>
      <w:r w:rsidRPr="005714EC" w:rsidR="0001110E">
        <w:rPr>
          <w:sz w:val="22"/>
          <w:szCs w:val="22"/>
        </w:rPr>
        <w:t>prolongado.</w:t>
      </w:r>
      <w:r w:rsidR="00B10E0B">
        <w:rPr>
          <w:sz w:val="22"/>
          <w:szCs w:val="22"/>
        </w:rPr>
        <w:t xml:space="preserve"> </w:t>
      </w:r>
      <w:r w:rsidRPr="005714EC" w:rsidR="0001110E">
        <w:rPr>
          <w:sz w:val="22"/>
          <w:szCs w:val="22"/>
        </w:rPr>
        <w:t>Vaughan</w:t>
      </w:r>
      <w:r w:rsidR="00B10E0B">
        <w:rPr>
          <w:sz w:val="22"/>
          <w:szCs w:val="22"/>
        </w:rPr>
        <w:t xml:space="preserve"> </w:t>
      </w:r>
      <w:r w:rsidRPr="005714EC" w:rsidR="0001110E">
        <w:rPr>
          <w:sz w:val="22"/>
          <w:szCs w:val="22"/>
        </w:rPr>
        <w:t>(1996)</w:t>
      </w:r>
      <w:r w:rsidRPr="00467F48" w:rsidR="007819A2">
        <w:rPr>
          <w:sz w:val="22"/>
          <w:szCs w:val="22"/>
        </w:rPr>
        <w:t>.</w:t>
      </w:r>
    </w:p>
    <w:p w:rsidRPr="00B73B09" w:rsidR="00B73B09" w:rsidP="00B73B09" w:rsidRDefault="00B73B09" w14:paraId="2692F571" w14:textId="77777777">
      <w:pPr>
        <w:spacing w:line="276" w:lineRule="auto"/>
        <w:jc w:val="both"/>
        <w:rPr>
          <w:sz w:val="22"/>
          <w:szCs w:val="22"/>
        </w:rPr>
      </w:pPr>
    </w:p>
    <w:p w:rsidRPr="001A0FD5" w:rsidR="008C0C32" w:rsidP="00925D94" w:rsidRDefault="001A0FD5" w14:paraId="44B66D57" w14:textId="29AA2D35">
      <w:pPr>
        <w:pStyle w:val="Ttulo2"/>
        <w:numPr>
          <w:ilvl w:val="1"/>
          <w:numId w:val="6"/>
        </w:numPr>
        <w:ind w:left="567" w:firstLine="0"/>
        <w:rPr>
          <w:rFonts w:eastAsia="Times New Roman" w:asciiTheme="minorHAnsi" w:hAnsiTheme="minorHAnsi"/>
          <w:b/>
          <w:bCs/>
          <w:color w:val="auto"/>
          <w:sz w:val="24"/>
          <w:szCs w:val="24"/>
        </w:rPr>
      </w:pPr>
      <w:bookmarkStart w:name="_Toc225160611" w:id="16"/>
      <w:r w:rsidRPr="001A0FD5">
        <w:rPr>
          <w:rFonts w:eastAsia="Times New Roman" w:asciiTheme="minorHAnsi" w:hAnsiTheme="minorHAnsi"/>
          <w:b/>
          <w:bCs/>
          <w:color w:val="auto"/>
          <w:sz w:val="24"/>
          <w:szCs w:val="24"/>
        </w:rPr>
        <w:t>Programas de subsidios con captura institucional</w:t>
      </w:r>
      <w:bookmarkEnd w:id="16"/>
      <w:r w:rsidRPr="001A0FD5" w:rsidR="722E4C22">
        <w:rPr>
          <w:rFonts w:eastAsia="Times New Roman" w:asciiTheme="minorHAnsi" w:hAnsiTheme="minorHAnsi"/>
          <w:b/>
          <w:bCs/>
          <w:color w:val="auto"/>
          <w:sz w:val="24"/>
          <w:szCs w:val="24"/>
        </w:rPr>
        <w:t xml:space="preserve"> </w:t>
      </w:r>
    </w:p>
    <w:p w:rsidRPr="0055479A" w:rsidR="0055479A" w:rsidP="0055479A" w:rsidRDefault="0055479A" w14:paraId="5A938F18" w14:textId="77777777">
      <w:pPr>
        <w:rPr>
          <w:highlight w:val="yellow"/>
        </w:rPr>
      </w:pPr>
    </w:p>
    <w:p w:rsidRPr="0034470C" w:rsidR="0EB1D04D" w:rsidP="760F0F25" w:rsidRDefault="1F864FAD" w14:paraId="67195D2D" w14:textId="6F518F18">
      <w:pPr>
        <w:spacing w:line="276" w:lineRule="auto"/>
        <w:jc w:val="both"/>
        <w:rPr>
          <w:sz w:val="22"/>
          <w:szCs w:val="22"/>
        </w:rPr>
      </w:pPr>
      <w:r w:rsidRPr="0034470C">
        <w:rPr>
          <w:rFonts w:ascii="Aptos" w:hAnsi="Aptos" w:eastAsia="Aptos" w:cs="Aptos"/>
          <w:sz w:val="22"/>
          <w:szCs w:val="22"/>
        </w:rPr>
        <w:t>El análisis del riesgo organizacional en el contexto internacional adquiere especial relevancia en programas de subsidios, ya que pueden implicar grandes volúmenes de recursos financieros y suelen estructurarse en varios niveles de gestión, desde las instancias que diseña la política, hasta aquellas que finalmente entregan los recursos a los beneficiarios.</w:t>
      </w:r>
    </w:p>
    <w:p w:rsidRPr="0034470C" w:rsidR="0EB1D04D" w:rsidP="760F0F25" w:rsidRDefault="1F864FAD" w14:paraId="10C0526C" w14:textId="459A158A">
      <w:pPr>
        <w:spacing w:line="276" w:lineRule="auto"/>
        <w:jc w:val="both"/>
        <w:rPr>
          <w:sz w:val="22"/>
          <w:szCs w:val="22"/>
        </w:rPr>
      </w:pPr>
      <w:r w:rsidRPr="0034470C">
        <w:rPr>
          <w:rFonts w:ascii="Aptos" w:hAnsi="Aptos" w:eastAsia="Aptos" w:cs="Aptos"/>
          <w:sz w:val="22"/>
          <w:szCs w:val="22"/>
        </w:rPr>
        <w:t xml:space="preserve">Por medio de los subsidios, se corrigen desigualdades económicas, se apoyan sectores productivos o se garantiza el acceso de la población a bienes y servicios esenciales. Sin embargo, Cuando las estructuras institucionales presentan debilidades en los sistemas de control, transparencia o rendición de cuentas, estos programas pueden volverse vulnerables a procesos de captura institucional. Este fenómeno ocurre cuando actores con poder económico, político o administrativo logran influir en el diseño, la implementación o la distribución de los subsidios para obtener beneficios particulares, desviando así los objetivos originales de la política pública. Esta </w:t>
      </w:r>
      <w:r w:rsidRPr="0034470C">
        <w:rPr>
          <w:rFonts w:ascii="Aptos" w:hAnsi="Aptos" w:eastAsia="Aptos" w:cs="Aptos"/>
          <w:sz w:val="22"/>
          <w:szCs w:val="22"/>
        </w:rPr>
        <w:lastRenderedPageBreak/>
        <w:t xml:space="preserve">multiplicidad de niveles de decisión, sumada a la diversidad de intereses presentes en el sistema, puede generar escenarios en los que la coordinación institucional se vuelve más difícil. </w:t>
      </w:r>
    </w:p>
    <w:p w:rsidRPr="0034470C" w:rsidR="0EB1D04D" w:rsidP="760F0F25" w:rsidRDefault="1F864FAD" w14:paraId="7F12D3DA" w14:textId="38E6465A">
      <w:pPr>
        <w:spacing w:line="276" w:lineRule="auto"/>
        <w:jc w:val="both"/>
        <w:rPr>
          <w:sz w:val="22"/>
          <w:szCs w:val="22"/>
        </w:rPr>
      </w:pPr>
      <w:r w:rsidRPr="0034470C">
        <w:rPr>
          <w:rFonts w:ascii="Aptos" w:hAnsi="Aptos" w:eastAsia="Aptos" w:cs="Aptos"/>
          <w:sz w:val="22"/>
          <w:szCs w:val="22"/>
        </w:rPr>
        <w:t>Comprender los riesgos organizacionales en este tipo de programas resulta fundamental, ya que permite identificar posibles debilidades en la gestión, prevenir desviaciones en el uso de los recursos y fortalecer los mecanismos de control y transparencia.</w:t>
      </w:r>
    </w:p>
    <w:p w:rsidRPr="0034470C" w:rsidR="0EB1D04D" w:rsidP="760F0F25" w:rsidRDefault="1F864FAD" w14:paraId="5B256312" w14:textId="580077D9">
      <w:pPr>
        <w:spacing w:line="276" w:lineRule="auto"/>
        <w:jc w:val="both"/>
        <w:rPr>
          <w:sz w:val="22"/>
          <w:szCs w:val="22"/>
        </w:rPr>
      </w:pPr>
      <w:r w:rsidRPr="0034470C">
        <w:rPr>
          <w:rFonts w:ascii="Aptos" w:hAnsi="Aptos" w:eastAsia="Aptos" w:cs="Aptos"/>
          <w:sz w:val="22"/>
          <w:szCs w:val="22"/>
        </w:rPr>
        <w:t>En el contexto internacional, los programas de subsidios operan dentro de sistemas organizacionales complejos en los que intervienen organismos gubernamentales, agencias reguladoras, empresas privadas, intermediarios y, en muchos casos, instituciones multilaterales. Organizaciones como el Banco Mundial o el Fondo Monetario Internacional, han señalado en diversos estudios que la efectividad de los subsidios depende en gran medida de la capacidad institucional de los países para administrar los recursos de manera transparente y eficiente. Cuando existen debilidades estructurales en el gobierno, como marcos regulatorios ambiguos, supervisión limitada o alta discrecionalidad en la toma de decisiones, se generan condiciones que pueden facilitar la captura institucional de estos programas.</w:t>
      </w:r>
    </w:p>
    <w:p w:rsidRPr="0034470C" w:rsidR="0EB1D04D" w:rsidP="760F0F25" w:rsidRDefault="1F864FAD" w14:paraId="4C37C63D" w14:textId="7BC0E5BB">
      <w:pPr>
        <w:spacing w:line="276" w:lineRule="auto"/>
        <w:jc w:val="both"/>
        <w:rPr>
          <w:sz w:val="22"/>
          <w:szCs w:val="22"/>
        </w:rPr>
      </w:pPr>
      <w:r w:rsidRPr="0034470C">
        <w:rPr>
          <w:rFonts w:ascii="Aptos" w:hAnsi="Aptos" w:eastAsia="Aptos" w:cs="Aptos"/>
          <w:sz w:val="22"/>
          <w:szCs w:val="22"/>
        </w:rPr>
        <w:t>Desde la perspectiva del riesgo organizacional, la captura institucional no suele aparecer de manera repentina, generalmente se desarrolla a través de procesos graduales en los que pequeñas decisiones, omisiones o prácticas informales comienzan a modificar el funcionamiento normal de la organización. Por ejemplo, en algunos programas de subsidios internacionales se observa que ciertos grupos de interés logran influir en los criterios de elegibilidad, en los mecanismos de asignación de recursos o en los procesos de supervisión. Este tipo de influencia puede manifestarse mediante presión política, relaciones cercanas entre actores públicos y privados o acceso privilegiado a la información. Con el tiempo, estas prácticas generan una estructura institucional en la que los beneficios se concentran en determinados actores, mientras que los grupos que originalmente debían ser beneficiarios quedan excluidos o reciben una proporción menor de los recursos.</w:t>
      </w:r>
      <w:r w:rsidRPr="0034470C" w:rsidR="0055479A">
        <w:rPr>
          <w:sz w:val="22"/>
          <w:szCs w:val="22"/>
        </w:rPr>
        <w:t xml:space="preserve"> </w:t>
      </w:r>
      <w:r w:rsidRPr="0034470C">
        <w:rPr>
          <w:rFonts w:ascii="Aptos" w:hAnsi="Aptos" w:eastAsia="Aptos" w:cs="Aptos"/>
          <w:sz w:val="22"/>
          <w:szCs w:val="22"/>
        </w:rPr>
        <w:t>Dentro de los casos más representativos de captura de subsidios a escala internacional se encuentran:</w:t>
      </w:r>
    </w:p>
    <w:p w:rsidR="0099299A" w:rsidP="0099299A" w:rsidRDefault="0099299A" w14:paraId="0F2ABBB2" w14:textId="77777777">
      <w:pPr>
        <w:spacing w:after="0" w:line="276" w:lineRule="auto"/>
        <w:jc w:val="both"/>
      </w:pPr>
    </w:p>
    <w:p w:rsidRPr="00554A08" w:rsidR="0EB1D04D" w:rsidP="00EA391C" w:rsidRDefault="1F864FAD" w14:paraId="53D3E1F0" w14:textId="1D9C11A4">
      <w:pPr>
        <w:pStyle w:val="Ttulo3"/>
        <w:numPr>
          <w:ilvl w:val="2"/>
          <w:numId w:val="6"/>
        </w:numPr>
        <w:rPr>
          <w:rFonts w:ascii="Aptos" w:hAnsi="Aptos" w:eastAsia="Aptos" w:cs="Aptos"/>
          <w:b/>
          <w:bCs/>
          <w:color w:val="auto"/>
          <w:sz w:val="22"/>
          <w:szCs w:val="22"/>
        </w:rPr>
      </w:pPr>
      <w:r w:rsidRPr="00554A08">
        <w:rPr>
          <w:rFonts w:ascii="Aptos" w:hAnsi="Aptos" w:eastAsia="Aptos" w:cs="Aptos"/>
          <w:b/>
          <w:bCs/>
          <w:color w:val="auto"/>
          <w:sz w:val="22"/>
          <w:szCs w:val="22"/>
        </w:rPr>
        <w:t xml:space="preserve"> </w:t>
      </w:r>
      <w:bookmarkStart w:name="_Toc225160612" w:id="17"/>
      <w:r w:rsidRPr="00554A08">
        <w:rPr>
          <w:rStyle w:val="Ttulo3Car"/>
          <w:b/>
          <w:bCs/>
          <w:color w:val="auto"/>
          <w:sz w:val="22"/>
          <w:szCs w:val="22"/>
        </w:rPr>
        <w:t>Programa de subsidios a combustibles, implementado en Nigeria</w:t>
      </w:r>
      <w:bookmarkEnd w:id="17"/>
      <w:r w:rsidRPr="00554A08">
        <w:rPr>
          <w:rFonts w:ascii="Aptos" w:hAnsi="Aptos" w:eastAsia="Aptos" w:cs="Aptos"/>
          <w:b/>
          <w:bCs/>
          <w:color w:val="auto"/>
          <w:sz w:val="22"/>
          <w:szCs w:val="22"/>
        </w:rPr>
        <w:t xml:space="preserve"> </w:t>
      </w:r>
    </w:p>
    <w:p w:rsidR="0099299A" w:rsidP="760F0F25" w:rsidRDefault="0099299A" w14:paraId="4D4126F6" w14:textId="77777777">
      <w:pPr>
        <w:spacing w:line="276" w:lineRule="auto"/>
        <w:jc w:val="both"/>
        <w:rPr>
          <w:rFonts w:ascii="Aptos" w:hAnsi="Aptos" w:eastAsia="Aptos" w:cs="Aptos"/>
        </w:rPr>
      </w:pPr>
    </w:p>
    <w:p w:rsidRPr="0034470C" w:rsidR="0EB1D04D" w:rsidP="760F0F25" w:rsidRDefault="1F864FAD" w14:paraId="63D8B239" w14:textId="5470572F">
      <w:pPr>
        <w:spacing w:line="276" w:lineRule="auto"/>
        <w:jc w:val="both"/>
        <w:rPr>
          <w:sz w:val="22"/>
          <w:szCs w:val="22"/>
        </w:rPr>
      </w:pPr>
      <w:r w:rsidRPr="0034470C">
        <w:rPr>
          <w:rFonts w:ascii="Aptos" w:hAnsi="Aptos" w:eastAsia="Aptos" w:cs="Aptos"/>
          <w:sz w:val="22"/>
          <w:szCs w:val="22"/>
        </w:rPr>
        <w:t xml:space="preserve">El programa de subsidios a los combustibles en Nigeria ha sido durante décadas una de las políticas públicas más importantes y polémicas de este país. Nigeria es uno de los mayores productores de petróleo de África, pero paradójicamente depende en gran medida de la importación de combustibles refinados debido a limitaciones en su capacidad de refinación y problemas estructurales en su sector energético. En este contexto, el subsidio a los combustibles fue implementado por el Estado como un mecanismo para mantener bajos los precios del combustible y garantizar cierto nivel de bienestar económico para la población. Sin embargo, con el paso del tiempo, esta política pública se convirtió en un sistema complejo donde se combinaron intereses políticos, presiones económicas, debilidades institucionales y riesgos </w:t>
      </w:r>
      <w:r w:rsidRPr="0034470C">
        <w:rPr>
          <w:rFonts w:ascii="Aptos" w:hAnsi="Aptos" w:eastAsia="Aptos" w:cs="Aptos"/>
          <w:sz w:val="22"/>
          <w:szCs w:val="22"/>
        </w:rPr>
        <w:lastRenderedPageBreak/>
        <w:t>organizacionales que fueron acumulándose hasta generar crisis recurrentes (</w:t>
      </w:r>
      <w:proofErr w:type="spellStart"/>
      <w:r w:rsidRPr="0034470C">
        <w:rPr>
          <w:rFonts w:ascii="Aptos" w:hAnsi="Aptos" w:eastAsia="Aptos" w:cs="Aptos"/>
          <w:sz w:val="22"/>
          <w:szCs w:val="22"/>
        </w:rPr>
        <w:t>Adeforiti</w:t>
      </w:r>
      <w:proofErr w:type="spellEnd"/>
      <w:r w:rsidRPr="0034470C">
        <w:rPr>
          <w:rFonts w:ascii="Aptos" w:hAnsi="Aptos" w:eastAsia="Aptos" w:cs="Aptos"/>
          <w:sz w:val="22"/>
          <w:szCs w:val="22"/>
        </w:rPr>
        <w:t xml:space="preserve"> y Abang, 2023).</w:t>
      </w:r>
    </w:p>
    <w:p w:rsidRPr="0034470C" w:rsidR="0EB1D04D" w:rsidP="760F0F25" w:rsidRDefault="1F864FAD" w14:paraId="12E10696" w14:textId="2C86AE31">
      <w:pPr>
        <w:spacing w:line="276" w:lineRule="auto"/>
        <w:jc w:val="both"/>
        <w:rPr>
          <w:sz w:val="22"/>
          <w:szCs w:val="22"/>
        </w:rPr>
      </w:pPr>
      <w:r w:rsidRPr="0034470C">
        <w:rPr>
          <w:rFonts w:ascii="Aptos" w:hAnsi="Aptos" w:eastAsia="Aptos" w:cs="Aptos"/>
          <w:sz w:val="22"/>
          <w:szCs w:val="22"/>
        </w:rPr>
        <w:t>Desde el punto de vista organizacional, el programa de subsidios a combustibles en Nigeria se estructuró alrededor de varias instituciones estatales y actores privados. En la parte central se encontraba el Ministerio de Finanzas y el Ministerio de Petróleo, responsables de diseñar la política energética y asignar los recursos necesarios para cubrir el subsidio. Paralelamente operaban organismos reguladores del mercado de combustibles, como las agencias encargadas de fijar precios y supervisar la importación y distribución del petróleo refinado. También participaban empresas importadoras, compañías petroleras y distribuidores, quienes recibían compensaciones del gobierno para cubrir la diferencia entre el precio internacional del combustible y el precio subsidiado que pagaban los consumidores. Este sistema organizacional involucraba múltiples niveles de decisión y una gran cantidad de recursos financieros, lo que aumentaba significativamente la complejidad administrativa y el riesgo de fallas institucionales (</w:t>
      </w:r>
      <w:proofErr w:type="spellStart"/>
      <w:r w:rsidRPr="0034470C">
        <w:rPr>
          <w:rFonts w:ascii="Aptos" w:hAnsi="Aptos" w:eastAsia="Aptos" w:cs="Aptos"/>
          <w:sz w:val="22"/>
          <w:szCs w:val="22"/>
        </w:rPr>
        <w:t>Ighomereho</w:t>
      </w:r>
      <w:proofErr w:type="spellEnd"/>
      <w:r w:rsidRPr="0034470C">
        <w:rPr>
          <w:rFonts w:ascii="Aptos" w:hAnsi="Aptos" w:eastAsia="Aptos" w:cs="Aptos"/>
          <w:sz w:val="22"/>
          <w:szCs w:val="22"/>
        </w:rPr>
        <w:t xml:space="preserve"> y Ezeabasili, 2024).</w:t>
      </w:r>
    </w:p>
    <w:p w:rsidRPr="0034470C" w:rsidR="0EB1D04D" w:rsidP="760F0F25" w:rsidRDefault="1F864FAD" w14:paraId="3A5D9BEB" w14:textId="422EE339">
      <w:pPr>
        <w:spacing w:line="276" w:lineRule="auto"/>
        <w:jc w:val="both"/>
        <w:rPr>
          <w:sz w:val="22"/>
          <w:szCs w:val="22"/>
        </w:rPr>
      </w:pPr>
      <w:r w:rsidRPr="0034470C">
        <w:rPr>
          <w:rFonts w:ascii="Aptos" w:hAnsi="Aptos" w:eastAsia="Aptos" w:cs="Aptos"/>
          <w:sz w:val="22"/>
          <w:szCs w:val="22"/>
        </w:rPr>
        <w:t>La dinámica de toma de decisiones dentro del programa de subsidios estaba influenciada por factores económicos, sociales y políticos. Por un lado, el gobierno buscaba mantener el subsidio para evitar aumentos bruscos en el costo de vida de la población, ya que el combustible influye directamente en los precios del transporte, los alimentos y otros bienes básicos. Por otro lado, los organismos financieros internacionales y algunos sectores económicos presionaban al gobierno para eliminar o reducir el subsidio debido al alto costo fiscal que representaba para el Estado. En algunos años el gasto público en subsidios alcanzó miles de millones de dólares, lo que generó preocupaciones sobre la sostenibilidad de las finanzas públicas y la eficiencia del gasto estatal (</w:t>
      </w:r>
      <w:proofErr w:type="spellStart"/>
      <w:r w:rsidRPr="0034470C">
        <w:rPr>
          <w:rFonts w:ascii="Aptos" w:hAnsi="Aptos" w:eastAsia="Aptos" w:cs="Aptos"/>
          <w:sz w:val="22"/>
          <w:szCs w:val="22"/>
        </w:rPr>
        <w:t>Adeforiti</w:t>
      </w:r>
      <w:proofErr w:type="spellEnd"/>
      <w:r w:rsidRPr="0034470C">
        <w:rPr>
          <w:rFonts w:ascii="Aptos" w:hAnsi="Aptos" w:eastAsia="Aptos" w:cs="Aptos"/>
          <w:sz w:val="22"/>
          <w:szCs w:val="22"/>
        </w:rPr>
        <w:t xml:space="preserve"> y Abang, 2023). Estas tensiones provocaron decisiones políticas contradictorias, donde algunos gobiernos intentaron reducir el subsidio mientras otros lo mantenían por razones sociales o electorales.</w:t>
      </w:r>
    </w:p>
    <w:p w:rsidRPr="0034470C" w:rsidR="0EB1D04D" w:rsidP="760F0F25" w:rsidRDefault="1F864FAD" w14:paraId="33D8CD85" w14:textId="62ABB57C">
      <w:pPr>
        <w:spacing w:line="276" w:lineRule="auto"/>
        <w:jc w:val="both"/>
        <w:rPr>
          <w:sz w:val="22"/>
          <w:szCs w:val="22"/>
        </w:rPr>
      </w:pPr>
      <w:r w:rsidRPr="0034470C">
        <w:rPr>
          <w:rFonts w:ascii="Aptos" w:hAnsi="Aptos" w:eastAsia="Aptos" w:cs="Aptos"/>
          <w:sz w:val="22"/>
          <w:szCs w:val="22"/>
        </w:rPr>
        <w:t>A lo largo del tiempo, comenzaron a aparecer señales tempranas que indicaban la existencia de problemas estructurales en el programa. Una de las más evidentes fue el creciente costo fiscal del subsidio. El gobierno llegó a gastar alrededor de 8 mil millones de dólares al año para mantener bajos los precios del combustible, lo que reducía los recursos disponibles para invertir en infraestructura, educación o servicios públicos (The Guardian, 2012). A pesar de estas señales, las autoridades tardaron en tomar medidas correctivas, en parte debido a la presión social y al temor de que cualquier reforma generara protestas masivas. Otra señal temprana fue la evidencia de corrupción y mala gestión dentro del sistema de subsidios, donde algunas empresas inflaban los costos de importación o reclamaban compensaciones por combustible que nunca había sido entregado realmente al mercado.</w:t>
      </w:r>
    </w:p>
    <w:p w:rsidRPr="0034470C" w:rsidR="0EB1D04D" w:rsidP="760F0F25" w:rsidRDefault="1F864FAD" w14:paraId="4AEEFA45" w14:textId="6040538F">
      <w:pPr>
        <w:spacing w:line="276" w:lineRule="auto"/>
        <w:jc w:val="both"/>
        <w:rPr>
          <w:sz w:val="22"/>
          <w:szCs w:val="22"/>
        </w:rPr>
      </w:pPr>
      <w:r w:rsidRPr="0034470C">
        <w:rPr>
          <w:rFonts w:ascii="Aptos" w:hAnsi="Aptos" w:eastAsia="Aptos" w:cs="Aptos"/>
          <w:sz w:val="22"/>
          <w:szCs w:val="22"/>
        </w:rPr>
        <w:t xml:space="preserve">Estas señales tempranas fueron en muchos casos ignoradas o minimizadas por los responsables de la política pública. En el interior de las instituciones se fue generando un proceso gradual de normalización del riesgo. Esto significa, que prácticas ineficientes e irregulares comenzaron a ser percibidas como algo normal dentro del funcionamiento del sistema. Por ejemplo, la existencia de intermediarios con gran influencia política, los retrasos en los pagos del subsidio y la falta de </w:t>
      </w:r>
      <w:r w:rsidRPr="0034470C">
        <w:rPr>
          <w:rFonts w:ascii="Aptos" w:hAnsi="Aptos" w:eastAsia="Aptos" w:cs="Aptos"/>
          <w:sz w:val="22"/>
          <w:szCs w:val="22"/>
        </w:rPr>
        <w:lastRenderedPageBreak/>
        <w:t>transparencia en la asignación de contratos se convirtieron en situaciones habituales. Con el tiempo, estas prácticas dejaron de ser consideradas anomalías y pasaron a formar parte de la lógica operativa del programa. Este fenómeno es común en organizaciones complejas donde las presiones políticas y económicas tienden a justificar la continuidad de prácticas riesgosas.</w:t>
      </w:r>
    </w:p>
    <w:p w:rsidRPr="0034470C" w:rsidR="0EB1D04D" w:rsidP="760F0F25" w:rsidRDefault="1F864FAD" w14:paraId="48DB7AC6" w14:textId="18715F07">
      <w:pPr>
        <w:spacing w:line="276" w:lineRule="auto"/>
        <w:jc w:val="both"/>
        <w:rPr>
          <w:sz w:val="22"/>
          <w:szCs w:val="22"/>
        </w:rPr>
      </w:pPr>
      <w:r w:rsidRPr="0034470C">
        <w:rPr>
          <w:rFonts w:ascii="Aptos" w:hAnsi="Aptos" w:eastAsia="Aptos" w:cs="Aptos"/>
          <w:sz w:val="22"/>
          <w:szCs w:val="22"/>
        </w:rPr>
        <w:t>Como consecuencia de este proceso, se fueron acumulando fallas latentes dentro del sistema institucional. Las fallas latentes no siempre generan problemas inmediatos, pero crean condiciones que pueden desencadenar crisis en el futuro. En el caso del subsidio a combustibles en Nigeria, estas fallas incluyeron la debilidad de los mecanismos de control estatal, la falta de transparencia en el manejo de recursos, la dependencia excesiva de importaciones de combustibles y la creciente desconfianza de la ciudadanía hacia las instituciones públicas. Además, el subsidio generaba incentivos perversos como el contrabando de combustible hacia países vecinos, donde el precio era más alto, lo que provocaba pérdidas económicas para el Estado (Guardian Nigeria, 2024). Todo esto configuraba un sistema vulnerable a crisis políticas y sociales.</w:t>
      </w:r>
    </w:p>
    <w:p w:rsidRPr="0034470C" w:rsidR="0EB1D04D" w:rsidP="760F0F25" w:rsidRDefault="1F864FAD" w14:paraId="38052877" w14:textId="5CDD0E10">
      <w:pPr>
        <w:spacing w:line="276" w:lineRule="auto"/>
        <w:jc w:val="both"/>
        <w:rPr>
          <w:sz w:val="22"/>
          <w:szCs w:val="22"/>
        </w:rPr>
      </w:pPr>
      <w:r w:rsidRPr="0034470C">
        <w:rPr>
          <w:rFonts w:ascii="Aptos" w:hAnsi="Aptos" w:eastAsia="Aptos" w:cs="Aptos"/>
          <w:sz w:val="22"/>
          <w:szCs w:val="22"/>
        </w:rPr>
        <w:t xml:space="preserve">El punto crítico de esta dinámica se evidenció con mayor claridad en el año 2012, cuando el gobierno nigeriano decidió eliminar el subsidio al combustible con el objetivo de reducir el gasto público y destinar esos recursos a proyectos de desarrollo e infraestructura. La medida provocó un aumento inmediato en el precio del combustible, que pasó aproximadamente de 65 </w:t>
      </w:r>
      <w:proofErr w:type="spellStart"/>
      <w:r w:rsidRPr="0034470C">
        <w:rPr>
          <w:rFonts w:ascii="Aptos" w:hAnsi="Aptos" w:eastAsia="Aptos" w:cs="Aptos"/>
          <w:sz w:val="22"/>
          <w:szCs w:val="22"/>
        </w:rPr>
        <w:t>nairas</w:t>
      </w:r>
      <w:proofErr w:type="spellEnd"/>
      <w:r w:rsidRPr="0034470C">
        <w:rPr>
          <w:rFonts w:ascii="Aptos" w:hAnsi="Aptos" w:eastAsia="Aptos" w:cs="Aptos"/>
          <w:sz w:val="22"/>
          <w:szCs w:val="22"/>
        </w:rPr>
        <w:t xml:space="preserve"> por litro a más del doble. Este incremento generó un impacto directo en el costo de vida de la población, provocando aumentos en los precios del transporte y los alimentos (</w:t>
      </w:r>
      <w:proofErr w:type="spellStart"/>
      <w:r w:rsidRPr="0034470C">
        <w:rPr>
          <w:rFonts w:ascii="Aptos" w:hAnsi="Aptos" w:eastAsia="Aptos" w:cs="Aptos"/>
          <w:sz w:val="22"/>
          <w:szCs w:val="22"/>
        </w:rPr>
        <w:t>Swarthmore</w:t>
      </w:r>
      <w:proofErr w:type="spellEnd"/>
      <w:r w:rsidRPr="0034470C">
        <w:rPr>
          <w:rFonts w:ascii="Aptos" w:hAnsi="Aptos" w:eastAsia="Aptos" w:cs="Aptos"/>
          <w:sz w:val="22"/>
          <w:szCs w:val="22"/>
        </w:rPr>
        <w:t xml:space="preserve"> Global </w:t>
      </w:r>
      <w:proofErr w:type="spellStart"/>
      <w:r w:rsidRPr="0034470C">
        <w:rPr>
          <w:rFonts w:ascii="Aptos" w:hAnsi="Aptos" w:eastAsia="Aptos" w:cs="Aptos"/>
          <w:sz w:val="22"/>
          <w:szCs w:val="22"/>
        </w:rPr>
        <w:t>Nonviolent</w:t>
      </w:r>
      <w:proofErr w:type="spellEnd"/>
      <w:r w:rsidRPr="0034470C">
        <w:rPr>
          <w:rFonts w:ascii="Aptos" w:hAnsi="Aptos" w:eastAsia="Aptos" w:cs="Aptos"/>
          <w:sz w:val="22"/>
          <w:szCs w:val="22"/>
        </w:rPr>
        <w:t xml:space="preserve"> </w:t>
      </w:r>
      <w:proofErr w:type="spellStart"/>
      <w:r w:rsidRPr="0034470C">
        <w:rPr>
          <w:rFonts w:ascii="Aptos" w:hAnsi="Aptos" w:eastAsia="Aptos" w:cs="Aptos"/>
          <w:sz w:val="22"/>
          <w:szCs w:val="22"/>
        </w:rPr>
        <w:t>Action</w:t>
      </w:r>
      <w:proofErr w:type="spellEnd"/>
      <w:r w:rsidRPr="0034470C">
        <w:rPr>
          <w:rFonts w:ascii="Aptos" w:hAnsi="Aptos" w:eastAsia="Aptos" w:cs="Aptos"/>
          <w:sz w:val="22"/>
          <w:szCs w:val="22"/>
        </w:rPr>
        <w:t xml:space="preserve"> </w:t>
      </w:r>
      <w:proofErr w:type="spellStart"/>
      <w:r w:rsidRPr="0034470C">
        <w:rPr>
          <w:rFonts w:ascii="Aptos" w:hAnsi="Aptos" w:eastAsia="Aptos" w:cs="Aptos"/>
          <w:sz w:val="22"/>
          <w:szCs w:val="22"/>
        </w:rPr>
        <w:t>Database</w:t>
      </w:r>
      <w:proofErr w:type="spellEnd"/>
      <w:r w:rsidRPr="0034470C">
        <w:rPr>
          <w:rFonts w:ascii="Aptos" w:hAnsi="Aptos" w:eastAsia="Aptos" w:cs="Aptos"/>
          <w:sz w:val="22"/>
          <w:szCs w:val="22"/>
        </w:rPr>
        <w:t>, 2012). Como resultado, surgieron protestas masivas en todo el país, conocidas como el movimiento “</w:t>
      </w:r>
      <w:proofErr w:type="spellStart"/>
      <w:r w:rsidRPr="0034470C">
        <w:rPr>
          <w:rFonts w:ascii="Aptos" w:hAnsi="Aptos" w:eastAsia="Aptos" w:cs="Aptos"/>
          <w:sz w:val="22"/>
          <w:szCs w:val="22"/>
        </w:rPr>
        <w:t>Occupy</w:t>
      </w:r>
      <w:proofErr w:type="spellEnd"/>
      <w:r w:rsidRPr="0034470C">
        <w:rPr>
          <w:rFonts w:ascii="Aptos" w:hAnsi="Aptos" w:eastAsia="Aptos" w:cs="Aptos"/>
          <w:sz w:val="22"/>
          <w:szCs w:val="22"/>
        </w:rPr>
        <w:t xml:space="preserve"> Nigeria”, que paralizaron la actividad económica durante varios días y obligaron al gobierno a negociar con sindicatos y organizaciones sociales. Este evento crítico, evidenció cómo las fallas acumuladas durante años dentro del sistema de subsidios habían creado una situación de alta fragilidad institucional. La falta de confianza entre el gobierno y la ciudadanía fue un factor clave en la intensidad de las protestas, ya que muchas personas temían que los recursos ahorrados por la eliminación del subsidio no se utilizaran realmente para mejorar los servicios públicos, sino que terminaran en redes de corrupción política (</w:t>
      </w:r>
      <w:proofErr w:type="spellStart"/>
      <w:r w:rsidRPr="0034470C">
        <w:rPr>
          <w:rFonts w:ascii="Aptos" w:hAnsi="Aptos" w:eastAsia="Aptos" w:cs="Aptos"/>
          <w:sz w:val="22"/>
          <w:szCs w:val="22"/>
        </w:rPr>
        <w:t>Swarthmore</w:t>
      </w:r>
      <w:proofErr w:type="spellEnd"/>
      <w:r w:rsidRPr="0034470C">
        <w:rPr>
          <w:rFonts w:ascii="Aptos" w:hAnsi="Aptos" w:eastAsia="Aptos" w:cs="Aptos"/>
          <w:sz w:val="22"/>
          <w:szCs w:val="22"/>
        </w:rPr>
        <w:t xml:space="preserve"> Global </w:t>
      </w:r>
      <w:proofErr w:type="spellStart"/>
      <w:r w:rsidRPr="0034470C">
        <w:rPr>
          <w:rFonts w:ascii="Aptos" w:hAnsi="Aptos" w:eastAsia="Aptos" w:cs="Aptos"/>
          <w:sz w:val="22"/>
          <w:szCs w:val="22"/>
        </w:rPr>
        <w:t>Nonviolent</w:t>
      </w:r>
      <w:proofErr w:type="spellEnd"/>
      <w:r w:rsidRPr="0034470C">
        <w:rPr>
          <w:rFonts w:ascii="Aptos" w:hAnsi="Aptos" w:eastAsia="Aptos" w:cs="Aptos"/>
          <w:sz w:val="22"/>
          <w:szCs w:val="22"/>
        </w:rPr>
        <w:t xml:space="preserve"> </w:t>
      </w:r>
      <w:proofErr w:type="spellStart"/>
      <w:r w:rsidRPr="0034470C">
        <w:rPr>
          <w:rFonts w:ascii="Aptos" w:hAnsi="Aptos" w:eastAsia="Aptos" w:cs="Aptos"/>
          <w:sz w:val="22"/>
          <w:szCs w:val="22"/>
        </w:rPr>
        <w:t>Action</w:t>
      </w:r>
      <w:proofErr w:type="spellEnd"/>
      <w:r w:rsidRPr="0034470C">
        <w:rPr>
          <w:rFonts w:ascii="Aptos" w:hAnsi="Aptos" w:eastAsia="Aptos" w:cs="Aptos"/>
          <w:sz w:val="22"/>
          <w:szCs w:val="22"/>
        </w:rPr>
        <w:t xml:space="preserve"> </w:t>
      </w:r>
      <w:proofErr w:type="spellStart"/>
      <w:r w:rsidRPr="0034470C">
        <w:rPr>
          <w:rFonts w:ascii="Aptos" w:hAnsi="Aptos" w:eastAsia="Aptos" w:cs="Aptos"/>
          <w:sz w:val="22"/>
          <w:szCs w:val="22"/>
        </w:rPr>
        <w:t>Database</w:t>
      </w:r>
      <w:proofErr w:type="spellEnd"/>
      <w:r w:rsidRPr="0034470C">
        <w:rPr>
          <w:rFonts w:ascii="Aptos" w:hAnsi="Aptos" w:eastAsia="Aptos" w:cs="Aptos"/>
          <w:sz w:val="22"/>
          <w:szCs w:val="22"/>
        </w:rPr>
        <w:t>, 2012). En este sentido, la crisis no fue solamente económica sino también institucional, ya que puso en evidencia la debilidad de los mecanismos del gobierno y la falta de legitimidad de algunas decisiones gubernamentales.</w:t>
      </w:r>
    </w:p>
    <w:p w:rsidRPr="0034470C" w:rsidR="0EB1D04D" w:rsidP="760F0F25" w:rsidRDefault="1F864FAD" w14:paraId="19B87ADD" w14:textId="110BD281">
      <w:pPr>
        <w:spacing w:line="276" w:lineRule="auto"/>
        <w:jc w:val="both"/>
        <w:rPr>
          <w:sz w:val="22"/>
          <w:szCs w:val="22"/>
        </w:rPr>
      </w:pPr>
      <w:r w:rsidRPr="0034470C">
        <w:rPr>
          <w:rFonts w:ascii="Aptos" w:hAnsi="Aptos" w:eastAsia="Aptos" w:cs="Aptos"/>
          <w:sz w:val="22"/>
          <w:szCs w:val="22"/>
        </w:rPr>
        <w:t xml:space="preserve">En términos de análisis organizacional, el caso del subsidio a combustibles en </w:t>
      </w:r>
      <w:proofErr w:type="gramStart"/>
      <w:r w:rsidRPr="0034470C">
        <w:rPr>
          <w:rFonts w:ascii="Aptos" w:hAnsi="Aptos" w:eastAsia="Aptos" w:cs="Aptos"/>
          <w:sz w:val="22"/>
          <w:szCs w:val="22"/>
        </w:rPr>
        <w:t>Nigeria,</w:t>
      </w:r>
      <w:proofErr w:type="gramEnd"/>
      <w:r w:rsidRPr="0034470C">
        <w:rPr>
          <w:rFonts w:ascii="Aptos" w:hAnsi="Aptos" w:eastAsia="Aptos" w:cs="Aptos"/>
          <w:sz w:val="22"/>
          <w:szCs w:val="22"/>
        </w:rPr>
        <w:t xml:space="preserve"> muestra cómo una política pública puede evolucionar desde una solución social hacia un sistema complejo de riesgos acumulados. Inicialmente el subsidio fue concebido como un mecanismo de protección económica para la población, pero con el tiempo se transformó en una estructura institucional difícil de reformar debido a los intereses políticos, económicos y sociales involucrados. La combinación de decisiones políticas, incentivos económicos distorsionados y debilidad institucional permitió que se normalizaran prácticas riesgosas que finalmente desembocaron en episodios de crisis social.</w:t>
      </w:r>
    </w:p>
    <w:p w:rsidR="00554A08" w:rsidP="760F0F25" w:rsidRDefault="00554A08" w14:paraId="088DD639" w14:textId="77777777">
      <w:pPr>
        <w:spacing w:line="276" w:lineRule="auto"/>
        <w:jc w:val="both"/>
      </w:pPr>
    </w:p>
    <w:p w:rsidR="063D799B" w:rsidP="00EA391C" w:rsidRDefault="0058026D" w14:paraId="30D14C60" w14:textId="1ECE3A50">
      <w:pPr>
        <w:pStyle w:val="Ttulo3"/>
        <w:numPr>
          <w:ilvl w:val="2"/>
          <w:numId w:val="6"/>
        </w:numPr>
        <w:rPr>
          <w:b/>
          <w:bCs/>
          <w:color w:val="auto"/>
          <w:sz w:val="22"/>
          <w:szCs w:val="22"/>
        </w:rPr>
      </w:pPr>
      <w:r w:rsidRPr="00554A08">
        <w:rPr>
          <w:b/>
          <w:bCs/>
          <w:color w:val="auto"/>
          <w:sz w:val="22"/>
          <w:szCs w:val="22"/>
        </w:rPr>
        <w:lastRenderedPageBreak/>
        <w:t xml:space="preserve"> </w:t>
      </w:r>
      <w:bookmarkStart w:name="_Toc225160613" w:id="18"/>
      <w:r w:rsidRPr="00554A08">
        <w:rPr>
          <w:b/>
          <w:bCs/>
          <w:color w:val="auto"/>
          <w:sz w:val="22"/>
          <w:szCs w:val="22"/>
        </w:rPr>
        <w:t>Subsidios</w:t>
      </w:r>
      <w:r w:rsidRPr="00554A08" w:rsidR="063D799B">
        <w:rPr>
          <w:b/>
          <w:bCs/>
          <w:color w:val="auto"/>
          <w:sz w:val="22"/>
          <w:szCs w:val="22"/>
        </w:rPr>
        <w:t xml:space="preserve"> energéticos implementados en Argentina</w:t>
      </w:r>
      <w:bookmarkEnd w:id="18"/>
    </w:p>
    <w:p w:rsidRPr="00554A08" w:rsidR="00554A08" w:rsidP="00554A08" w:rsidRDefault="00554A08" w14:paraId="0E2F3DB4" w14:textId="77777777"/>
    <w:p w:rsidRPr="0099281B" w:rsidR="063D799B" w:rsidP="0099281B" w:rsidRDefault="063D799B" w14:paraId="02AB0054" w14:textId="63EA838E">
      <w:pPr>
        <w:spacing w:line="276" w:lineRule="auto"/>
        <w:jc w:val="both"/>
        <w:rPr>
          <w:sz w:val="22"/>
          <w:szCs w:val="22"/>
        </w:rPr>
      </w:pPr>
      <w:r w:rsidRPr="0099281B">
        <w:rPr>
          <w:sz w:val="22"/>
          <w:szCs w:val="22"/>
        </w:rPr>
        <w:t xml:space="preserve"> En muchos países, los gobiernos han utilizado programas de subsidios energéticos como una herramienta de política pública para proteger a la población frente a aumentos en las tarifas o para garantizar que los hogares más vulnerables puedan acceder a estos servicios. Argentina constituye uno de los casos más representativos de América Latina en este tipo de políticas, especialmente desde comienzos de los años 2000, cuando el Estado decidió intervenir activamente en el sector energético mediante transferencias económicas destinadas a reducir el costo que pagan los usuarios por el consumo de electricidad y gas (</w:t>
      </w:r>
      <w:proofErr w:type="spellStart"/>
      <w:r w:rsidRPr="0099281B">
        <w:rPr>
          <w:sz w:val="22"/>
          <w:szCs w:val="22"/>
        </w:rPr>
        <w:t>Bike</w:t>
      </w:r>
      <w:proofErr w:type="spellEnd"/>
      <w:r w:rsidRPr="0099281B">
        <w:rPr>
          <w:sz w:val="22"/>
          <w:szCs w:val="22"/>
        </w:rPr>
        <w:t xml:space="preserve"> 1992).</w:t>
      </w:r>
    </w:p>
    <w:p w:rsidRPr="0099281B" w:rsidR="063D799B" w:rsidP="0099281B" w:rsidRDefault="063D799B" w14:paraId="1629EC08" w14:textId="7102D07F">
      <w:pPr>
        <w:spacing w:line="276" w:lineRule="auto"/>
        <w:jc w:val="both"/>
        <w:rPr>
          <w:sz w:val="22"/>
          <w:szCs w:val="22"/>
        </w:rPr>
      </w:pPr>
      <w:r w:rsidRPr="0099281B">
        <w:rPr>
          <w:sz w:val="22"/>
          <w:szCs w:val="22"/>
        </w:rPr>
        <w:t>El origen del sistema moderno de subsidios energéticos en Argentina está estrechamente relacionado con la crisis económica, social y política que atravesó el país entre 2001 y 2002. En ese momento, la fuerte caída del ingreso de los hogares y la devaluación de la moneda generaron un escenario de profunda vulnerabilidad social. Como respuesta, el gobierno implementó medidas para evitar que el costo de los servicios públicos se disparara, entre ellas el congelamiento de tarifas y la entrega de subsidios a las empresas del sector energético para compensar los menores ingresos por facturación (</w:t>
      </w:r>
      <w:proofErr w:type="spellStart"/>
      <w:r w:rsidRPr="0099281B">
        <w:rPr>
          <w:sz w:val="22"/>
          <w:szCs w:val="22"/>
        </w:rPr>
        <w:t>Bike</w:t>
      </w:r>
      <w:proofErr w:type="spellEnd"/>
      <w:r w:rsidRPr="0099281B">
        <w:rPr>
          <w:sz w:val="22"/>
          <w:szCs w:val="22"/>
        </w:rPr>
        <w:t xml:space="preserve"> 1992). Estas transferencias permitieron mantener los precios de la electricidad y el gas relativamente bajos durante muchos años, con el objetivo de proteger el poder adquisitivo de la población y evitar un deterioro mayor de las condiciones de vida (Llanos 2026).</w:t>
      </w:r>
    </w:p>
    <w:p w:rsidRPr="0099281B" w:rsidR="063D799B" w:rsidP="0099281B" w:rsidRDefault="063D799B" w14:paraId="6E380119" w14:textId="3028C5F7">
      <w:pPr>
        <w:spacing w:line="276" w:lineRule="auto"/>
        <w:jc w:val="both"/>
        <w:rPr>
          <w:sz w:val="22"/>
          <w:szCs w:val="22"/>
        </w:rPr>
      </w:pPr>
      <w:r w:rsidRPr="0099281B">
        <w:rPr>
          <w:sz w:val="22"/>
          <w:szCs w:val="22"/>
        </w:rPr>
        <w:t>A partir de 2003, los subsidios energéticos crecieron de manera sostenida, convirtiéndose en un instrumento clave para sostener el consumo interno y garantizar el acceso a los servicios básicos (Rojas 2018). Sin embargo, también comenzaron a aparecer una serie de desafíos institucionales y organizacionales relacionados con la forma en que se diseñaban, implementaban y controlaban estos subsidios.</w:t>
      </w:r>
    </w:p>
    <w:p w:rsidRPr="0099281B" w:rsidR="063D799B" w:rsidP="0099281B" w:rsidRDefault="063D799B" w14:paraId="0602483E" w14:textId="6403815A">
      <w:pPr>
        <w:spacing w:line="276" w:lineRule="auto"/>
        <w:jc w:val="both"/>
        <w:rPr>
          <w:sz w:val="22"/>
          <w:szCs w:val="22"/>
        </w:rPr>
      </w:pPr>
      <w:r w:rsidRPr="0099281B">
        <w:rPr>
          <w:sz w:val="22"/>
          <w:szCs w:val="22"/>
        </w:rPr>
        <w:t xml:space="preserve">Desde el punto de vista organizacional, la estructura institucional encargada de administrar el sistema de subsidios energéticos en Argentina ha sido compleja y ha involucrado múltiples actores. El Ministerio de Economía y la Secretaría de Energía, han tenido la responsabilidad de diseñar las políticas tarifarias y definir el monto de los subsidios. A su vez, los organismos reguladores del sector, como el </w:t>
      </w:r>
      <w:r w:rsidR="000D1242">
        <w:rPr>
          <w:sz w:val="22"/>
          <w:szCs w:val="22"/>
        </w:rPr>
        <w:t>e</w:t>
      </w:r>
      <w:r w:rsidRPr="0099281B" w:rsidR="4A2E3683">
        <w:rPr>
          <w:sz w:val="22"/>
          <w:szCs w:val="22"/>
        </w:rPr>
        <w:t xml:space="preserve">nte Nacional Regulador de la Electricidad (ENRE), el </w:t>
      </w:r>
      <w:r w:rsidRPr="0099281B">
        <w:rPr>
          <w:sz w:val="22"/>
          <w:szCs w:val="22"/>
        </w:rPr>
        <w:t>Ente Nacional Regulador del Gas (ENARGAS), se encargan de supervisar el funcionamiento de las empresas de transporte y distribución de gas, así como de garantizar el cumplimiento de las normas regulatorias (Torres 2019). Además de estas instituciones, el sistema involucra a empresas privadas y públicas dedicadas a la generación, transporte y distribución de energía, así como a los gobiernos provinciales y a los usuarios finales. Esta red institucional refleja una estructura organizacional compleja en la que intervienen diferentes niveles de decisión y múltiples intereses económicos y políticos. En este contexto, las decisiones sobre subsidios energéticos no dependen únicamente de criterios técnicos, sino también de factores políticos, fiscales y sociales que influyen en la forma en que se diseñan las políticas públicas (González 2017).</w:t>
      </w:r>
    </w:p>
    <w:p w:rsidRPr="0099281B" w:rsidR="063D799B" w:rsidP="0099281B" w:rsidRDefault="063D799B" w14:paraId="39B43FF8" w14:textId="360340C7">
      <w:pPr>
        <w:spacing w:line="276" w:lineRule="auto"/>
        <w:jc w:val="both"/>
        <w:rPr>
          <w:sz w:val="22"/>
          <w:szCs w:val="22"/>
        </w:rPr>
      </w:pPr>
      <w:r w:rsidRPr="0099281B">
        <w:rPr>
          <w:sz w:val="22"/>
          <w:szCs w:val="22"/>
        </w:rPr>
        <w:lastRenderedPageBreak/>
        <w:t>Las dinámicas de toma de decisiones dentro del sistema de subsidios energéticos en Argentina han estado marcadas por una fuerte interacción entre la política económica y la política social. En muchos momentos, las decisiones sobre tarifas y subsidios han respondido más a la necesidad de evitar conflictos sociales que a criterios de sostenibilidad financiera del sistema energético. Mantener tarifas bajas durante largos períodos fue visto por los gobiernos como una estrategia para proteger a los consumidores y sostener la estabilidad política, especialmente en contextos de alta inflación o crisis económica (Martínez 2020). Sin embargo, esta dinámica también generó tensiones dentro del propio sistema organizacional. Por un lado, las empresas del sector energético señalaban que los precios artificialmente bajos reducían los incentivos para invertir en infraestructura y producción. Por otro lado, el Estado debía destinar cada vez más recursos fiscales para sostener el sistema de subsidios, lo que generaba presiones sobre el presupuesto público (Rojas 2018), empezando a mostrar señales de riesgo organizacional relacionadas con la sostenibilidad económica y la eficiencia institucional.</w:t>
      </w:r>
    </w:p>
    <w:p w:rsidRPr="0099281B" w:rsidR="063D799B" w:rsidP="0099281B" w:rsidRDefault="063D799B" w14:paraId="11A9E24B" w14:textId="5195F844">
      <w:pPr>
        <w:spacing w:line="276" w:lineRule="auto"/>
        <w:jc w:val="both"/>
        <w:rPr>
          <w:sz w:val="22"/>
          <w:szCs w:val="22"/>
        </w:rPr>
      </w:pPr>
      <w:r w:rsidRPr="0099281B">
        <w:rPr>
          <w:sz w:val="22"/>
          <w:szCs w:val="22"/>
        </w:rPr>
        <w:t>Uno de los aspectos más relevantes para comprender el caso argentino es la existencia de señales tempranas que fueron ignoradas o subestimadas durante varios años. Entre estas señales, se encontraba el incremento acelerado del gasto público destinado a subsidios energéticos, que aumentó significativamente a partir de mediados de la década del 2000. Lo anterior, reflejaba no solo el aumento del consumo energético, sino también el hecho de que las tarifas permanecían congeladas mientras los costos de producción y distribución continuaban aumentando (</w:t>
      </w:r>
      <w:proofErr w:type="spellStart"/>
      <w:r w:rsidRPr="0099281B">
        <w:rPr>
          <w:sz w:val="22"/>
          <w:szCs w:val="22"/>
        </w:rPr>
        <w:t>Bike</w:t>
      </w:r>
      <w:proofErr w:type="spellEnd"/>
      <w:r w:rsidRPr="0099281B">
        <w:rPr>
          <w:sz w:val="22"/>
          <w:szCs w:val="22"/>
        </w:rPr>
        <w:t xml:space="preserve"> 1992).</w:t>
      </w:r>
    </w:p>
    <w:p w:rsidRPr="0099281B" w:rsidR="063D799B" w:rsidP="0099281B" w:rsidRDefault="063D799B" w14:paraId="5F47797B" w14:textId="05458D79">
      <w:pPr>
        <w:spacing w:line="276" w:lineRule="auto"/>
        <w:jc w:val="both"/>
        <w:rPr>
          <w:sz w:val="22"/>
          <w:szCs w:val="22"/>
        </w:rPr>
      </w:pPr>
      <w:r w:rsidRPr="0099281B">
        <w:rPr>
          <w:sz w:val="22"/>
          <w:szCs w:val="22"/>
        </w:rPr>
        <w:t>Otra señal importante fue la caída de las inversiones en el sector energético. Cuando los precios de la energía se mantienen artificialmente bajos durante largos períodos, las empresas tienen menos incentivos para ampliar la capacidad de generación o modernizar la infraestructura. Como resultado, comenzaron a aparecer problemas en el suministro energético, especialmente durante períodos de alta demanda (Martínez 2020).</w:t>
      </w:r>
    </w:p>
    <w:p w:rsidRPr="0099281B" w:rsidR="063D799B" w:rsidP="0099281B" w:rsidRDefault="063D799B" w14:paraId="171FD1BD" w14:textId="6E7E1AAC">
      <w:pPr>
        <w:spacing w:line="276" w:lineRule="auto"/>
        <w:jc w:val="both"/>
        <w:rPr>
          <w:sz w:val="22"/>
          <w:szCs w:val="22"/>
        </w:rPr>
      </w:pPr>
      <w:r w:rsidRPr="0099281B">
        <w:rPr>
          <w:sz w:val="22"/>
          <w:szCs w:val="22"/>
        </w:rPr>
        <w:t>En el análisis del riesgo organizacional, este tipo de situaciones suele interpretarse como procesos de normalización del riesgo, por lo que la tendencia de las organizaciones es acostumbrarse gradualmente a situaciones problemáticas o ineficientes hasta considerarlas parte normal del funcionamiento del sistema. En el caso de los subsidios energéticos en Argentina, el crecimiento constante del gasto público y la dependencia creciente del sistema energético respecto de las transferencias estatales fueron percibidos durante mucho tiempo como una característica normal de la política económica, en lugar de interpretarse como un riesgo estructural (Llanos 2026).</w:t>
      </w:r>
    </w:p>
    <w:p w:rsidRPr="0099281B" w:rsidR="063D799B" w:rsidP="0099281B" w:rsidRDefault="063D799B" w14:paraId="5AD04413" w14:textId="758650E7">
      <w:pPr>
        <w:spacing w:line="276" w:lineRule="auto"/>
        <w:jc w:val="both"/>
        <w:rPr>
          <w:sz w:val="22"/>
          <w:szCs w:val="22"/>
        </w:rPr>
      </w:pPr>
      <w:r w:rsidRPr="0099281B">
        <w:rPr>
          <w:sz w:val="22"/>
          <w:szCs w:val="22"/>
        </w:rPr>
        <w:t>Otra falla importante, estuvo relacionada con la falta de focalización de los subsidios energéticos, porque por muchos años beneficiaron tanto a los hogares de bajos ingresos como a los de ingresos altos. Esto significaba que una parte significativa de los recursos públicos destinados a subsidiar la energía terminaba favoreciendo a sectores de la población que no necesariamente necesitaban ese apoyo económico (González 2017).</w:t>
      </w:r>
    </w:p>
    <w:p w:rsidRPr="0099281B" w:rsidR="063D799B" w:rsidP="0099281B" w:rsidRDefault="063D799B" w14:paraId="09836BF8" w14:textId="7DA4CFDA">
      <w:pPr>
        <w:spacing w:line="276" w:lineRule="auto"/>
        <w:jc w:val="both"/>
        <w:rPr>
          <w:sz w:val="22"/>
          <w:szCs w:val="22"/>
        </w:rPr>
      </w:pPr>
      <w:r w:rsidRPr="0099281B">
        <w:rPr>
          <w:sz w:val="22"/>
          <w:szCs w:val="22"/>
        </w:rPr>
        <w:lastRenderedPageBreak/>
        <w:t xml:space="preserve">A medida que estas fallas se acumulaban, el sistema energético comenzó a mostrar signos de deterioro progresivo. Entre 2003 y 2015 el consumo de electricidad y gas creció de manera significativa, mientras que la producción energética no logró acompañar ese ritmo de crecimiento. La combinación de tarifas bajas y subsidios generalizados incentivó el aumento del consumo, pero al mismo tiempo redujo los incentivos para invertir en la expansión de la oferta energética. </w:t>
      </w:r>
    </w:p>
    <w:p w:rsidRPr="0099281B" w:rsidR="063D799B" w:rsidP="0099281B" w:rsidRDefault="063D799B" w14:paraId="4CA65817" w14:textId="52A451F6">
      <w:pPr>
        <w:spacing w:line="276" w:lineRule="auto"/>
        <w:jc w:val="both"/>
        <w:rPr>
          <w:sz w:val="22"/>
          <w:szCs w:val="22"/>
        </w:rPr>
      </w:pPr>
      <w:r w:rsidRPr="0099281B">
        <w:rPr>
          <w:sz w:val="22"/>
          <w:szCs w:val="22"/>
        </w:rPr>
        <w:t>En términos de riesgo organizacional, este proceso puede interpretarse como una degradación progresiva del sistema. Las decisiones tomadas durante años para mantener tarifas bajas generaron beneficios políticos y sociales en el corto plazo, pero también produjeron desequilibrios estructurales que se hicieron cada vez más difíciles de sostener. Eventualmente, el sistema llegó a un punto en el que se hizo necesario implementar reformas para reducir el peso de los subsidios y corregir las distorsiones del mercado energético (Martínez 2020).</w:t>
      </w:r>
    </w:p>
    <w:p w:rsidRPr="0099281B" w:rsidR="063D799B" w:rsidP="0099281B" w:rsidRDefault="063D799B" w14:paraId="0CD1D2D9" w14:textId="37E24CA3">
      <w:pPr>
        <w:spacing w:line="276" w:lineRule="auto"/>
        <w:jc w:val="both"/>
        <w:rPr>
          <w:sz w:val="22"/>
          <w:szCs w:val="22"/>
        </w:rPr>
      </w:pPr>
      <w:r w:rsidRPr="0099281B">
        <w:rPr>
          <w:sz w:val="22"/>
          <w:szCs w:val="22"/>
        </w:rPr>
        <w:t xml:space="preserve">En los últimos años, el gobierno argentino ha intentado modificar el esquema de subsidios mediante diferentes estrategias, como la segmentación de tarifas y la focalización de la ayuda en los hogares más vulnerables buscando reducir con reformas el gasto público destinado a subsidios y al mismo tiempo garantizar que los sectores de menores ingresos continúen teniendo acceso a los servicios energéticos (Rojas 2018). En 2026, por ejemplo, se implementó un nuevo régimen de subsidios energéticos focalizados destinado a unificar los distintos programas existentes y dirigir la asistencia estatal principalmente a los hogares vulnerables. </w:t>
      </w:r>
    </w:p>
    <w:p w:rsidRPr="0099281B" w:rsidR="063D799B" w:rsidP="0099281B" w:rsidRDefault="063D799B" w14:paraId="6528BB51" w14:textId="6F396AB9">
      <w:pPr>
        <w:spacing w:line="276" w:lineRule="auto"/>
        <w:jc w:val="both"/>
        <w:rPr>
          <w:sz w:val="22"/>
          <w:szCs w:val="22"/>
        </w:rPr>
      </w:pPr>
      <w:r w:rsidRPr="0099281B">
        <w:rPr>
          <w:sz w:val="22"/>
          <w:szCs w:val="22"/>
        </w:rPr>
        <w:t>En conclusión, el caso de los subsidios energéticos en Argentina muestra cómo una política pública diseñada inicialmente para proteger a la población frente a una crisis económica puede transformarse con el tiempo en un sistema complejo que genera nuevos riesgos organizacionales. La interacción entre decisiones políticas, presiones sociales y limitaciones fiscales produjo un modelo de subsidios que durante años logró garantizar el acceso a la energía, pero que también generó problemas de sostenibilidad económica e institucional. Analizar este caso desde la perspectiva del riesgo organizacional permite comprender cómo las decisiones tomadas dentro de las instituciones públicas pueden producir efectos acumulativos que, si no se corrigen a tiempo, pueden conducir a procesos de deterioro progresivo en la gestión de políticas públicas.</w:t>
      </w:r>
    </w:p>
    <w:p w:rsidR="00E361DD" w:rsidP="0099281B" w:rsidRDefault="00E361DD" w14:paraId="7B6621DC" w14:textId="27375CA5">
      <w:pPr>
        <w:spacing w:line="276" w:lineRule="auto"/>
        <w:jc w:val="both"/>
      </w:pPr>
    </w:p>
    <w:p w:rsidRPr="00A62B11" w:rsidR="008C0C32" w:rsidP="0099281B" w:rsidRDefault="008C0C32" w14:paraId="258D8D01" w14:textId="3CAB1808">
      <w:pPr>
        <w:pStyle w:val="Ttulo2"/>
        <w:numPr>
          <w:ilvl w:val="1"/>
          <w:numId w:val="6"/>
        </w:numPr>
        <w:spacing w:line="276" w:lineRule="auto"/>
        <w:rPr>
          <w:rFonts w:eastAsia="Times New Roman" w:asciiTheme="minorHAnsi" w:hAnsiTheme="minorHAnsi"/>
          <w:b/>
          <w:color w:val="auto"/>
          <w:sz w:val="24"/>
          <w:szCs w:val="24"/>
        </w:rPr>
      </w:pPr>
      <w:bookmarkStart w:name="_Toc225160614" w:id="19"/>
      <w:r w:rsidRPr="00A62B11">
        <w:rPr>
          <w:rFonts w:eastAsia="Times New Roman" w:asciiTheme="minorHAnsi" w:hAnsiTheme="minorHAnsi"/>
          <w:b/>
          <w:color w:val="auto"/>
          <w:sz w:val="24"/>
          <w:szCs w:val="24"/>
        </w:rPr>
        <w:t>Crisis</w:t>
      </w:r>
      <w:r w:rsidRPr="00A62B11" w:rsidR="00997519">
        <w:rPr>
          <w:rFonts w:eastAsia="Times New Roman" w:asciiTheme="minorHAnsi" w:hAnsiTheme="minorHAnsi"/>
          <w:b/>
          <w:color w:val="auto"/>
          <w:sz w:val="24"/>
          <w:szCs w:val="24"/>
        </w:rPr>
        <w:t xml:space="preserve"> </w:t>
      </w:r>
      <w:r w:rsidRPr="00A62B11">
        <w:rPr>
          <w:rFonts w:eastAsia="Times New Roman" w:asciiTheme="minorHAnsi" w:hAnsiTheme="minorHAnsi"/>
          <w:b/>
          <w:color w:val="auto"/>
          <w:sz w:val="24"/>
          <w:szCs w:val="24"/>
        </w:rPr>
        <w:t>sanitarias</w:t>
      </w:r>
      <w:r w:rsidRPr="00A62B11" w:rsidR="00997519">
        <w:rPr>
          <w:rFonts w:eastAsia="Times New Roman" w:asciiTheme="minorHAnsi" w:hAnsiTheme="minorHAnsi"/>
          <w:b/>
          <w:color w:val="auto"/>
          <w:sz w:val="24"/>
          <w:szCs w:val="24"/>
        </w:rPr>
        <w:t xml:space="preserve"> </w:t>
      </w:r>
      <w:r w:rsidRPr="00A62B11">
        <w:rPr>
          <w:rFonts w:eastAsia="Times New Roman" w:asciiTheme="minorHAnsi" w:hAnsiTheme="minorHAnsi"/>
          <w:b/>
          <w:color w:val="auto"/>
          <w:sz w:val="24"/>
          <w:szCs w:val="24"/>
        </w:rPr>
        <w:t>con</w:t>
      </w:r>
      <w:r w:rsidRPr="00A62B11" w:rsidR="00997519">
        <w:rPr>
          <w:rFonts w:eastAsia="Times New Roman" w:asciiTheme="minorHAnsi" w:hAnsiTheme="minorHAnsi"/>
          <w:b/>
          <w:color w:val="auto"/>
          <w:sz w:val="24"/>
          <w:szCs w:val="24"/>
        </w:rPr>
        <w:t xml:space="preserve"> </w:t>
      </w:r>
      <w:r w:rsidRPr="00A62B11">
        <w:rPr>
          <w:rFonts w:eastAsia="Times New Roman" w:asciiTheme="minorHAnsi" w:hAnsiTheme="minorHAnsi"/>
          <w:b/>
          <w:color w:val="auto"/>
          <w:sz w:val="24"/>
          <w:szCs w:val="24"/>
        </w:rPr>
        <w:t>fallas</w:t>
      </w:r>
      <w:r w:rsidRPr="00A62B11" w:rsidR="00997519">
        <w:rPr>
          <w:rFonts w:eastAsia="Times New Roman" w:asciiTheme="minorHAnsi" w:hAnsiTheme="minorHAnsi"/>
          <w:b/>
          <w:color w:val="auto"/>
          <w:sz w:val="24"/>
          <w:szCs w:val="24"/>
        </w:rPr>
        <w:t xml:space="preserve"> </w:t>
      </w:r>
      <w:r w:rsidRPr="00A62B11">
        <w:rPr>
          <w:rFonts w:eastAsia="Times New Roman" w:asciiTheme="minorHAnsi" w:hAnsiTheme="minorHAnsi"/>
          <w:b/>
          <w:color w:val="auto"/>
          <w:sz w:val="24"/>
          <w:szCs w:val="24"/>
        </w:rPr>
        <w:t>organizacionales</w:t>
      </w:r>
      <w:bookmarkEnd w:id="19"/>
    </w:p>
    <w:p w:rsidR="00DD2D8C" w:rsidP="00DD2D8C" w:rsidRDefault="00DD2D8C" w14:paraId="6CE678AB" w14:textId="77777777">
      <w:pPr>
        <w:rPr>
          <w:highlight w:val="yellow"/>
        </w:rPr>
      </w:pPr>
    </w:p>
    <w:p w:rsidR="00871C45" w:rsidP="000D1242" w:rsidRDefault="007A3922" w14:paraId="602F8891" w14:textId="6CDAD480">
      <w:pPr>
        <w:jc w:val="both"/>
        <w:rPr>
          <w:sz w:val="22"/>
          <w:szCs w:val="22"/>
        </w:rPr>
      </w:pPr>
      <w:r w:rsidRPr="00E361DD">
        <w:rPr>
          <w:sz w:val="22"/>
          <w:szCs w:val="22"/>
        </w:rPr>
        <w:t xml:space="preserve">En el ámbito de la salud pública, las crisis sanitarias internacionales suelen surgir cuando decisiones de política, avances científicos o intervenciones médicas se implementan en contextos de alta incertidumbre, presión política y gran exposición mediática. Estas situaciones pueden revelar debilidades en la gestión del riesgo, en la comunicación institucional y en los mecanismos de gobernanza del sistema de salud. Analizar casos de crisis sanitarias permite comprender cómo interactúan factores científicos, políticos y sociales en la implementación de programas de salud pública, así como identificar lecciones importantes para mejorar la toma de </w:t>
      </w:r>
      <w:r w:rsidRPr="00E361DD">
        <w:rPr>
          <w:sz w:val="22"/>
          <w:szCs w:val="22"/>
        </w:rPr>
        <w:lastRenderedPageBreak/>
        <w:t>decisiones, fortalecer la confianza de la población y prevenir fallas en futuras intervenciones. A continuación, se presentan dos casos internacionales que ilustran los desafíos y consecuencias que pueden surgir cuando la gestión de riesgos y la comunicación pública no se manejan de manera adecuada.</w:t>
      </w:r>
    </w:p>
    <w:p w:rsidRPr="000D1242" w:rsidR="000D1242" w:rsidP="000D1242" w:rsidRDefault="000D1242" w14:paraId="6BBF5AA4" w14:textId="77777777">
      <w:pPr>
        <w:spacing w:after="0"/>
        <w:jc w:val="both"/>
        <w:rPr>
          <w:sz w:val="22"/>
          <w:szCs w:val="22"/>
        </w:rPr>
      </w:pPr>
    </w:p>
    <w:p w:rsidRPr="00A62B11" w:rsidR="0034470C" w:rsidP="00171351" w:rsidRDefault="000A737C" w14:paraId="32053A50" w14:textId="67A13CEC">
      <w:pPr>
        <w:pStyle w:val="Ttulo3"/>
        <w:numPr>
          <w:ilvl w:val="2"/>
          <w:numId w:val="6"/>
        </w:numPr>
        <w:spacing w:line="276" w:lineRule="auto"/>
        <w:rPr>
          <w:b/>
          <w:bCs/>
          <w:color w:val="auto"/>
          <w:sz w:val="24"/>
          <w:szCs w:val="24"/>
        </w:rPr>
      </w:pPr>
      <w:bookmarkStart w:name="_Toc225160615" w:id="20"/>
      <w:r w:rsidRPr="00A62B11">
        <w:rPr>
          <w:rFonts w:eastAsiaTheme="minorEastAsia"/>
          <w:b/>
          <w:bCs/>
          <w:color w:val="auto"/>
          <w:sz w:val="22"/>
          <w:szCs w:val="22"/>
        </w:rPr>
        <w:t>P</w:t>
      </w:r>
      <w:r w:rsidRPr="00A62B11" w:rsidR="14F5013D">
        <w:rPr>
          <w:rFonts w:eastAsiaTheme="minorEastAsia"/>
          <w:b/>
          <w:bCs/>
          <w:color w:val="auto"/>
          <w:sz w:val="22"/>
          <w:szCs w:val="22"/>
        </w:rPr>
        <w:t xml:space="preserve">rograma de vacunación contra el dengue </w:t>
      </w:r>
      <w:r w:rsidRPr="00A62B11" w:rsidR="00735B53">
        <w:rPr>
          <w:rFonts w:eastAsiaTheme="minorEastAsia"/>
          <w:b/>
          <w:bCs/>
          <w:color w:val="auto"/>
          <w:sz w:val="22"/>
          <w:szCs w:val="22"/>
        </w:rPr>
        <w:t>en</w:t>
      </w:r>
      <w:r w:rsidRPr="00A62B11" w:rsidR="14F5013D">
        <w:rPr>
          <w:rFonts w:eastAsiaTheme="minorEastAsia"/>
          <w:b/>
          <w:bCs/>
          <w:color w:val="auto"/>
          <w:sz w:val="22"/>
          <w:szCs w:val="22"/>
        </w:rPr>
        <w:t xml:space="preserve"> Filipinas (2016–2017)</w:t>
      </w:r>
      <w:bookmarkEnd w:id="20"/>
      <w:r w:rsidRPr="00A62B11" w:rsidR="00D1696D">
        <w:rPr>
          <w:rFonts w:eastAsiaTheme="minorEastAsia"/>
          <w:b/>
          <w:bCs/>
          <w:color w:val="auto"/>
          <w:sz w:val="22"/>
          <w:szCs w:val="22"/>
        </w:rPr>
        <w:t xml:space="preserve"> </w:t>
      </w:r>
    </w:p>
    <w:p w:rsidR="0034470C" w:rsidP="00583463" w:rsidRDefault="14F5013D" w14:paraId="17AE1F7E" w14:textId="6BCD1421">
      <w:pPr>
        <w:spacing w:after="0"/>
        <w:ind w:right="-142"/>
        <w:jc w:val="both"/>
        <w:rPr>
          <w:rFonts w:eastAsiaTheme="minorEastAsia"/>
          <w:sz w:val="22"/>
          <w:szCs w:val="22"/>
        </w:rPr>
      </w:pPr>
      <w:r w:rsidRPr="1DD0773F">
        <w:rPr>
          <w:rFonts w:eastAsiaTheme="minorEastAsia"/>
          <w:sz w:val="22"/>
          <w:szCs w:val="22"/>
        </w:rPr>
        <w:t xml:space="preserve"> </w:t>
      </w:r>
    </w:p>
    <w:p w:rsidRPr="00C34516" w:rsidR="0034470C" w:rsidP="00C34516" w:rsidRDefault="14F5013D" w14:paraId="291690E7" w14:textId="1EC2212F">
      <w:pPr>
        <w:spacing w:after="0" w:line="276" w:lineRule="auto"/>
        <w:ind w:right="-142"/>
        <w:jc w:val="both"/>
        <w:rPr>
          <w:rFonts w:eastAsiaTheme="minorEastAsia"/>
          <w:sz w:val="22"/>
          <w:szCs w:val="22"/>
        </w:rPr>
      </w:pPr>
      <w:r w:rsidRPr="00873E49">
        <w:rPr>
          <w:rFonts w:eastAsiaTheme="minorEastAsia"/>
          <w:sz w:val="22"/>
          <w:szCs w:val="22"/>
        </w:rPr>
        <w:t xml:space="preserve">Las infecciones por dengue han aumentado en todo el mundo en los últimos años, y la incidencia del dengue actualmente afecta a aproximadamente 400 millones de personas y causa aproximadamente 20.000 muertes </w:t>
      </w:r>
      <w:r w:rsidR="00661C3D">
        <w:rPr>
          <w:rFonts w:eastAsiaTheme="minorEastAsia"/>
          <w:sz w:val="22"/>
          <w:szCs w:val="22"/>
        </w:rPr>
        <w:t>anuales</w:t>
      </w:r>
      <w:r w:rsidRPr="00C34516">
        <w:rPr>
          <w:rFonts w:eastAsiaTheme="minorEastAsia"/>
          <w:sz w:val="22"/>
          <w:szCs w:val="22"/>
        </w:rPr>
        <w:t xml:space="preserve">. Las vacunas contra el dengue </w:t>
      </w:r>
      <w:r w:rsidR="00BE2260">
        <w:rPr>
          <w:rFonts w:eastAsiaTheme="minorEastAsia"/>
          <w:sz w:val="22"/>
          <w:szCs w:val="22"/>
        </w:rPr>
        <w:t xml:space="preserve">que </w:t>
      </w:r>
      <w:r w:rsidRPr="00C34516">
        <w:rPr>
          <w:rFonts w:eastAsiaTheme="minorEastAsia"/>
          <w:sz w:val="22"/>
          <w:szCs w:val="22"/>
        </w:rPr>
        <w:t>se han desarrollado en los últimos años se han probado en ensayos clínicos y ofrecen esperanza de que las epidemias de dengue puedan mitigarse. Sin embargo, una controversia rodea a la vacuna contra el dengue</w:t>
      </w:r>
      <w:r w:rsidR="00EE2165">
        <w:rPr>
          <w:rFonts w:eastAsiaTheme="minorEastAsia"/>
          <w:sz w:val="22"/>
          <w:szCs w:val="22"/>
        </w:rPr>
        <w:t xml:space="preserve"> y está relacionada </w:t>
      </w:r>
      <w:r w:rsidRPr="00C34516">
        <w:rPr>
          <w:rFonts w:eastAsiaTheme="minorEastAsia"/>
          <w:sz w:val="22"/>
          <w:szCs w:val="22"/>
        </w:rPr>
        <w:t xml:space="preserve">con la potenciación dependiente de anticuerpos (ADE) del dengue. La ADE del dengue ocurre después de una infección primaria por dengue. La infección primaria promueve la producción de anticuerpos en el sistema inmunitario, que son específicos de la cepa del virus del dengue, atrapan y matan esta cepa en la sangre y pueden permanecer en la sangre durante décadas. El virus del dengue está presente en cuatro cepas, y los anticuerpos específicos de la cepa de la infección primaria no pueden unirse bien con una infección secundaria de una cepa diferente. En cambio, estos anticuerpos pueden promover la replicación de una infección secundaria de una cepa diferente, con una gravedad de la enfermedad mucho mayor que la infección de la cepa primaria. </w:t>
      </w:r>
    </w:p>
    <w:p w:rsidRPr="00C544F2" w:rsidR="0034470C" w:rsidP="00C34516" w:rsidRDefault="14F5013D" w14:paraId="1DD3C0D6" w14:textId="613886F4">
      <w:pPr>
        <w:spacing w:after="0" w:line="276" w:lineRule="auto"/>
        <w:ind w:right="-142"/>
        <w:jc w:val="both"/>
        <w:rPr>
          <w:rFonts w:eastAsiaTheme="minorEastAsia"/>
          <w:color w:val="EE0000"/>
          <w:sz w:val="22"/>
          <w:szCs w:val="22"/>
        </w:rPr>
      </w:pPr>
      <w:r w:rsidRPr="00C544F2">
        <w:rPr>
          <w:rFonts w:eastAsiaTheme="minorEastAsia"/>
          <w:color w:val="EE0000"/>
          <w:sz w:val="22"/>
          <w:szCs w:val="22"/>
        </w:rPr>
        <w:t xml:space="preserve"> </w:t>
      </w:r>
    </w:p>
    <w:p w:rsidRPr="00C34516" w:rsidR="0034470C" w:rsidP="00C34516" w:rsidRDefault="14F5013D" w14:paraId="1CE8473F" w14:textId="78819157">
      <w:pPr>
        <w:spacing w:after="0" w:line="276" w:lineRule="auto"/>
        <w:ind w:right="-142"/>
        <w:jc w:val="both"/>
        <w:rPr>
          <w:rFonts w:eastAsiaTheme="minorEastAsia"/>
          <w:sz w:val="22"/>
          <w:szCs w:val="22"/>
        </w:rPr>
      </w:pPr>
      <w:r w:rsidRPr="00C34516">
        <w:rPr>
          <w:rFonts w:eastAsiaTheme="minorEastAsia"/>
          <w:sz w:val="22"/>
          <w:szCs w:val="22"/>
        </w:rPr>
        <w:t xml:space="preserve">Estudios clínicos han demostrado que la vacunación contra el dengue puede simular una infección primaria y, por lo tanto, promover la </w:t>
      </w:r>
      <w:r w:rsidRPr="00C34516" w:rsidR="003717CC">
        <w:rPr>
          <w:rFonts w:eastAsiaTheme="minorEastAsia"/>
          <w:sz w:val="22"/>
          <w:szCs w:val="22"/>
        </w:rPr>
        <w:t xml:space="preserve">potenciación dependiente de anticuerpos </w:t>
      </w:r>
      <w:r w:rsidRPr="00C34516" w:rsidR="0018652B">
        <w:rPr>
          <w:rFonts w:eastAsiaTheme="minorEastAsia"/>
          <w:sz w:val="22"/>
          <w:szCs w:val="22"/>
        </w:rPr>
        <w:t>(</w:t>
      </w:r>
      <w:r w:rsidRPr="00C34516">
        <w:rPr>
          <w:rFonts w:eastAsiaTheme="minorEastAsia"/>
          <w:sz w:val="22"/>
          <w:szCs w:val="22"/>
        </w:rPr>
        <w:t>ADE</w:t>
      </w:r>
      <w:r w:rsidRPr="00C34516" w:rsidR="0018652B">
        <w:rPr>
          <w:rFonts w:eastAsiaTheme="minorEastAsia"/>
          <w:sz w:val="22"/>
          <w:szCs w:val="22"/>
        </w:rPr>
        <w:t>)</w:t>
      </w:r>
      <w:r w:rsidRPr="00C34516">
        <w:rPr>
          <w:rFonts w:eastAsiaTheme="minorEastAsia"/>
          <w:sz w:val="22"/>
          <w:szCs w:val="22"/>
        </w:rPr>
        <w:t xml:space="preserve"> en personas que no han tenido una infección primaria antes de la vacunación, pero que la presentan después de la vacunación. </w:t>
      </w:r>
      <w:r w:rsidR="002A0374">
        <w:rPr>
          <w:rFonts w:eastAsiaTheme="minorEastAsia"/>
          <w:sz w:val="22"/>
          <w:szCs w:val="22"/>
        </w:rPr>
        <w:t>De igual forma,</w:t>
      </w:r>
      <w:r w:rsidR="0003760F">
        <w:rPr>
          <w:rFonts w:eastAsiaTheme="minorEastAsia"/>
          <w:sz w:val="22"/>
          <w:szCs w:val="22"/>
        </w:rPr>
        <w:t xml:space="preserve"> otros estudios de</w:t>
      </w:r>
      <w:r w:rsidR="002A0374">
        <w:rPr>
          <w:rFonts w:eastAsiaTheme="minorEastAsia"/>
          <w:sz w:val="22"/>
          <w:szCs w:val="22"/>
        </w:rPr>
        <w:t xml:space="preserve"> investigación ha</w:t>
      </w:r>
      <w:r w:rsidR="0003760F">
        <w:rPr>
          <w:rFonts w:eastAsiaTheme="minorEastAsia"/>
          <w:sz w:val="22"/>
          <w:szCs w:val="22"/>
        </w:rPr>
        <w:t>n</w:t>
      </w:r>
      <w:r w:rsidR="002A0374">
        <w:rPr>
          <w:rFonts w:eastAsiaTheme="minorEastAsia"/>
          <w:sz w:val="22"/>
          <w:szCs w:val="22"/>
        </w:rPr>
        <w:t xml:space="preserve"> evidenciado</w:t>
      </w:r>
      <w:r w:rsidR="0003760F">
        <w:rPr>
          <w:rFonts w:eastAsiaTheme="minorEastAsia"/>
          <w:sz w:val="22"/>
          <w:szCs w:val="22"/>
        </w:rPr>
        <w:t xml:space="preserve"> </w:t>
      </w:r>
      <w:r w:rsidRPr="00C34516">
        <w:rPr>
          <w:rFonts w:eastAsiaTheme="minorEastAsia"/>
          <w:sz w:val="22"/>
          <w:szCs w:val="22"/>
        </w:rPr>
        <w:t xml:space="preserve">Estudios clínicos también han demostrado que la vacunación de personas previamente infectadas no conlleva </w:t>
      </w:r>
      <w:r w:rsidR="0003760F">
        <w:rPr>
          <w:rFonts w:eastAsiaTheme="minorEastAsia"/>
          <w:sz w:val="22"/>
          <w:szCs w:val="22"/>
        </w:rPr>
        <w:t xml:space="preserve">a </w:t>
      </w:r>
      <w:r w:rsidRPr="00C34516">
        <w:rPr>
          <w:rFonts w:eastAsiaTheme="minorEastAsia"/>
          <w:sz w:val="22"/>
          <w:szCs w:val="22"/>
        </w:rPr>
        <w:t xml:space="preserve">un mayor riesgo de muerte si posteriormente se produce una infección secundaria. </w:t>
      </w:r>
      <w:r w:rsidR="00DF6BEC">
        <w:rPr>
          <w:rFonts w:eastAsiaTheme="minorEastAsia"/>
          <w:sz w:val="22"/>
          <w:szCs w:val="22"/>
        </w:rPr>
        <w:t xml:space="preserve">Estas problemáticas se han abordado </w:t>
      </w:r>
      <w:r w:rsidRPr="00C34516">
        <w:rPr>
          <w:rFonts w:eastAsiaTheme="minorEastAsia"/>
          <w:sz w:val="22"/>
          <w:szCs w:val="22"/>
        </w:rPr>
        <w:t>en torno a la vacunación en el contexto del programa de vacunación contra el dengue</w:t>
      </w:r>
      <w:r w:rsidR="00192361">
        <w:rPr>
          <w:rFonts w:eastAsiaTheme="minorEastAsia"/>
          <w:sz w:val="22"/>
          <w:szCs w:val="22"/>
        </w:rPr>
        <w:t xml:space="preserve"> </w:t>
      </w:r>
      <w:r w:rsidR="00D2095E">
        <w:rPr>
          <w:rFonts w:eastAsiaTheme="minorEastAsia"/>
          <w:sz w:val="22"/>
          <w:szCs w:val="22"/>
        </w:rPr>
        <w:t>desarrollado</w:t>
      </w:r>
      <w:r w:rsidRPr="00D2095E" w:rsidR="00D2095E">
        <w:rPr>
          <w:rFonts w:eastAsiaTheme="minorEastAsia"/>
          <w:sz w:val="22"/>
          <w:szCs w:val="22"/>
        </w:rPr>
        <w:t xml:space="preserve"> en</w:t>
      </w:r>
      <w:r w:rsidRPr="00C34516">
        <w:rPr>
          <w:rFonts w:eastAsiaTheme="minorEastAsia"/>
          <w:sz w:val="22"/>
          <w:szCs w:val="22"/>
        </w:rPr>
        <w:t xml:space="preserve"> la República de Filipinas en</w:t>
      </w:r>
      <w:r w:rsidR="0014459D">
        <w:rPr>
          <w:rFonts w:eastAsiaTheme="minorEastAsia"/>
          <w:sz w:val="22"/>
          <w:szCs w:val="22"/>
        </w:rPr>
        <w:t>tre</w:t>
      </w:r>
      <w:r w:rsidRPr="00C34516">
        <w:rPr>
          <w:rFonts w:eastAsiaTheme="minorEastAsia"/>
          <w:sz w:val="22"/>
          <w:szCs w:val="22"/>
        </w:rPr>
        <w:t xml:space="preserve"> 2016 y 2017.</w:t>
      </w:r>
    </w:p>
    <w:p w:rsidR="0034470C" w:rsidP="241AA52D" w:rsidRDefault="23EA2BA8" w14:paraId="7561EC6D" w14:textId="6A4AA351">
      <w:pPr>
        <w:spacing w:after="0" w:line="276" w:lineRule="auto"/>
        <w:ind w:right="-142"/>
        <w:jc w:val="both"/>
        <w:rPr>
          <w:rFonts w:eastAsiaTheme="minorEastAsia"/>
          <w:sz w:val="22"/>
          <w:szCs w:val="22"/>
        </w:rPr>
      </w:pPr>
      <w:r w:rsidRPr="241AA52D">
        <w:rPr>
          <w:rFonts w:eastAsiaTheme="minorEastAsia"/>
          <w:sz w:val="22"/>
          <w:szCs w:val="22"/>
        </w:rPr>
        <w:t xml:space="preserve"> </w:t>
      </w:r>
    </w:p>
    <w:p w:rsidR="0034470C" w:rsidP="241AA52D" w:rsidRDefault="23EA2BA8" w14:paraId="4D29BEDF" w14:textId="1DB1B17E">
      <w:pPr>
        <w:spacing w:after="0" w:line="276" w:lineRule="auto"/>
        <w:ind w:right="-142"/>
        <w:jc w:val="both"/>
        <w:rPr>
          <w:rFonts w:eastAsiaTheme="minorEastAsia"/>
          <w:sz w:val="22"/>
          <w:szCs w:val="22"/>
        </w:rPr>
      </w:pPr>
      <w:r w:rsidRPr="241AA52D">
        <w:rPr>
          <w:rFonts w:eastAsiaTheme="minorEastAsia"/>
          <w:sz w:val="22"/>
          <w:szCs w:val="22"/>
        </w:rPr>
        <w:t xml:space="preserve">El 4 de abril de 2016, </w:t>
      </w:r>
      <w:r w:rsidRPr="00C34516">
        <w:rPr>
          <w:rFonts w:eastAsiaTheme="minorEastAsia"/>
          <w:i/>
          <w:iCs/>
          <w:sz w:val="22"/>
          <w:szCs w:val="22"/>
        </w:rPr>
        <w:t>Sanofi Pasteur</w:t>
      </w:r>
      <w:r w:rsidRPr="241AA52D">
        <w:rPr>
          <w:rFonts w:eastAsiaTheme="minorEastAsia"/>
          <w:sz w:val="22"/>
          <w:szCs w:val="22"/>
        </w:rPr>
        <w:t xml:space="preserve"> lanzó su programa de inmunización contra el dengue en Filipinas con </w:t>
      </w:r>
      <w:proofErr w:type="spellStart"/>
      <w:r w:rsidRPr="241AA52D">
        <w:rPr>
          <w:rFonts w:eastAsiaTheme="minorEastAsia"/>
          <w:sz w:val="22"/>
          <w:szCs w:val="22"/>
        </w:rPr>
        <w:t>Dengvaxia</w:t>
      </w:r>
      <w:proofErr w:type="spellEnd"/>
      <w:r w:rsidRPr="241AA52D">
        <w:rPr>
          <w:rFonts w:eastAsiaTheme="minorEastAsia"/>
          <w:sz w:val="22"/>
          <w:szCs w:val="22"/>
        </w:rPr>
        <w:t xml:space="preserve">, una vacuna tetravalente viva atenuada, durante un evento organizado por el Departamento de Salud (DOH) de Filipinas. La Organización Mundial de la Salud (OMS) había estado informando grandes brotes de dengue en todo el mundo y había 176.411 casos de dengue en Filipinas en ese entonces. </w:t>
      </w:r>
      <w:proofErr w:type="spellStart"/>
      <w:r w:rsidRPr="241AA52D">
        <w:rPr>
          <w:rFonts w:eastAsiaTheme="minorEastAsia"/>
          <w:sz w:val="22"/>
          <w:szCs w:val="22"/>
        </w:rPr>
        <w:t>Dengvaxia</w:t>
      </w:r>
      <w:proofErr w:type="spellEnd"/>
      <w:r w:rsidRPr="241AA52D">
        <w:rPr>
          <w:rFonts w:eastAsiaTheme="minorEastAsia"/>
          <w:sz w:val="22"/>
          <w:szCs w:val="22"/>
        </w:rPr>
        <w:t xml:space="preserve"> también se registró en México, Brasil, El Salvador y otros países, pero el programa de inmunización pública con esta vacuna se realizó primero en Filipinas. </w:t>
      </w:r>
    </w:p>
    <w:p w:rsidR="0034470C" w:rsidP="241AA52D" w:rsidRDefault="23EA2BA8" w14:paraId="3B30A4CA" w14:textId="35D81464">
      <w:pPr>
        <w:spacing w:after="0" w:line="276" w:lineRule="auto"/>
        <w:ind w:right="-142"/>
        <w:jc w:val="both"/>
        <w:rPr>
          <w:rFonts w:eastAsiaTheme="minorEastAsia"/>
          <w:sz w:val="22"/>
          <w:szCs w:val="22"/>
        </w:rPr>
      </w:pPr>
      <w:r w:rsidRPr="241AA52D">
        <w:rPr>
          <w:rFonts w:eastAsiaTheme="minorEastAsia"/>
          <w:sz w:val="22"/>
          <w:szCs w:val="22"/>
        </w:rPr>
        <w:t xml:space="preserve"> </w:t>
      </w:r>
    </w:p>
    <w:p w:rsidR="0034470C" w:rsidP="241AA52D" w:rsidRDefault="23EA2BA8" w14:paraId="5C407AA8" w14:textId="7EA0EF05">
      <w:pPr>
        <w:spacing w:after="0" w:line="276" w:lineRule="auto"/>
        <w:ind w:right="-142"/>
        <w:jc w:val="both"/>
        <w:rPr>
          <w:rFonts w:eastAsiaTheme="minorEastAsia"/>
          <w:sz w:val="22"/>
          <w:szCs w:val="22"/>
        </w:rPr>
      </w:pPr>
      <w:r w:rsidRPr="241AA52D">
        <w:rPr>
          <w:rFonts w:eastAsiaTheme="minorEastAsia"/>
          <w:sz w:val="22"/>
          <w:szCs w:val="22"/>
        </w:rPr>
        <w:t xml:space="preserve">En Filipinas, se utilizaron aproximadamente 2,3 millones de dosis, donde más de 830.000 niños recibieron una dosis, más de 415.000 dos dosis y más de 365.000 las tres dosis. Dos estudios </w:t>
      </w:r>
      <w:r w:rsidRPr="241AA52D">
        <w:rPr>
          <w:rFonts w:eastAsiaTheme="minorEastAsia"/>
          <w:sz w:val="22"/>
          <w:szCs w:val="22"/>
        </w:rPr>
        <w:lastRenderedPageBreak/>
        <w:t xml:space="preserve">realizados por </w:t>
      </w:r>
      <w:proofErr w:type="spellStart"/>
      <w:r w:rsidRPr="241AA52D">
        <w:rPr>
          <w:rFonts w:eastAsiaTheme="minorEastAsia"/>
          <w:sz w:val="22"/>
          <w:szCs w:val="22"/>
        </w:rPr>
        <w:t>Capeding</w:t>
      </w:r>
      <w:proofErr w:type="spellEnd"/>
      <w:r w:rsidRPr="241AA52D">
        <w:rPr>
          <w:rFonts w:eastAsiaTheme="minorEastAsia"/>
          <w:sz w:val="22"/>
          <w:szCs w:val="22"/>
        </w:rPr>
        <w:t xml:space="preserve"> et al. y Villar et al. mostraron una eficacia de la vacuna del 80,8 % y del 91,7 %, respectivamente, para la prevención del dengue grave y del dengue hemorrágico después de una vacunación de tres dosis. Otro estudio informó una eficacia de la vacuna del 48 % en la prevención del dengue, pero esto se hizo solo después de una dosis y tuvo menos participantes </w:t>
      </w:r>
      <w:r w:rsidRPr="241AA52D" w:rsidR="14F5013D">
        <w:rPr>
          <w:rFonts w:eastAsiaTheme="minorEastAsia"/>
          <w:sz w:val="22"/>
          <w:szCs w:val="22"/>
        </w:rPr>
        <w:t xml:space="preserve">de </w:t>
      </w:r>
      <w:r w:rsidRPr="241AA52D" w:rsidR="02916740">
        <w:rPr>
          <w:rFonts w:eastAsiaTheme="minorEastAsia"/>
          <w:sz w:val="22"/>
          <w:szCs w:val="22"/>
        </w:rPr>
        <w:t>(</w:t>
      </w:r>
      <w:r w:rsidRPr="241AA52D">
        <w:rPr>
          <w:rFonts w:eastAsiaTheme="minorEastAsia"/>
          <w:sz w:val="22"/>
          <w:szCs w:val="22"/>
        </w:rPr>
        <w:t>1470</w:t>
      </w:r>
      <w:r w:rsidRPr="241AA52D" w:rsidR="02916740">
        <w:rPr>
          <w:rFonts w:eastAsiaTheme="minorEastAsia"/>
          <w:sz w:val="22"/>
          <w:szCs w:val="22"/>
        </w:rPr>
        <w:t>)</w:t>
      </w:r>
      <w:r w:rsidRPr="241AA52D">
        <w:rPr>
          <w:rFonts w:eastAsiaTheme="minorEastAsia"/>
          <w:sz w:val="22"/>
          <w:szCs w:val="22"/>
        </w:rPr>
        <w:t xml:space="preserve"> en comparación con la población total de 31.144 participantes de los otros 2 estudios.</w:t>
      </w:r>
    </w:p>
    <w:p w:rsidR="0034470C" w:rsidP="241AA52D" w:rsidRDefault="23EA2BA8" w14:paraId="57E7F8AB" w14:textId="07E1AE32">
      <w:pPr>
        <w:spacing w:after="0" w:line="276" w:lineRule="auto"/>
        <w:ind w:right="-142"/>
        <w:jc w:val="both"/>
        <w:rPr>
          <w:rFonts w:eastAsiaTheme="minorEastAsia"/>
          <w:sz w:val="22"/>
          <w:szCs w:val="22"/>
        </w:rPr>
      </w:pPr>
      <w:r w:rsidRPr="241AA52D">
        <w:rPr>
          <w:rFonts w:eastAsiaTheme="minorEastAsia"/>
          <w:sz w:val="22"/>
          <w:szCs w:val="22"/>
        </w:rPr>
        <w:t xml:space="preserve"> </w:t>
      </w:r>
    </w:p>
    <w:p w:rsidR="00A62B11" w:rsidP="241AA52D" w:rsidRDefault="23EA2BA8" w14:paraId="5DC98B2A" w14:textId="77777777">
      <w:pPr>
        <w:spacing w:after="0" w:line="276" w:lineRule="auto"/>
        <w:ind w:right="-142"/>
        <w:jc w:val="both"/>
        <w:rPr>
          <w:rFonts w:eastAsiaTheme="minorEastAsia"/>
          <w:sz w:val="22"/>
          <w:szCs w:val="22"/>
        </w:rPr>
      </w:pPr>
      <w:r w:rsidRPr="241AA52D">
        <w:rPr>
          <w:rFonts w:eastAsiaTheme="minorEastAsia"/>
          <w:sz w:val="22"/>
          <w:szCs w:val="22"/>
        </w:rPr>
        <w:t xml:space="preserve">En noviembre de 2017, después de que más de 800.000 niños de escuelas públicas en Filipinas hubieran recibido al menos una dosis de la vacuna, el fabricante anunció que el uso de la vacuna se restringiría a aquellos que ya habían estado expuestos al dengue. Se observó que con </w:t>
      </w:r>
      <w:proofErr w:type="spellStart"/>
      <w:r w:rsidRPr="241AA52D">
        <w:rPr>
          <w:rFonts w:eastAsiaTheme="minorEastAsia"/>
          <w:sz w:val="22"/>
          <w:szCs w:val="22"/>
        </w:rPr>
        <w:t>Dengvaxia</w:t>
      </w:r>
      <w:proofErr w:type="spellEnd"/>
      <w:r w:rsidRPr="241AA52D">
        <w:rPr>
          <w:rFonts w:eastAsiaTheme="minorEastAsia"/>
          <w:sz w:val="22"/>
          <w:szCs w:val="22"/>
        </w:rPr>
        <w:t xml:space="preserve">, los casos de dengue </w:t>
      </w:r>
      <w:proofErr w:type="spellStart"/>
      <w:r w:rsidRPr="241AA52D">
        <w:rPr>
          <w:rFonts w:eastAsiaTheme="minorEastAsia"/>
          <w:sz w:val="22"/>
          <w:szCs w:val="22"/>
        </w:rPr>
        <w:t>irruptivo</w:t>
      </w:r>
      <w:proofErr w:type="spellEnd"/>
      <w:r w:rsidRPr="241AA52D" w:rsidR="5D95589F">
        <w:rPr>
          <w:rFonts w:eastAsiaTheme="minorEastAsia"/>
          <w:sz w:val="22"/>
          <w:szCs w:val="22"/>
        </w:rPr>
        <w:t>, es decir, la manifestación súbita y severa de la enfermedad, conocida médicamente como </w:t>
      </w:r>
      <w:r w:rsidRPr="00C34516" w:rsidR="5D95589F">
        <w:rPr>
          <w:rFonts w:eastAsiaTheme="minorEastAsia"/>
          <w:sz w:val="22"/>
          <w:szCs w:val="22"/>
        </w:rPr>
        <w:t>dengue</w:t>
      </w:r>
      <w:r w:rsidRPr="241AA52D" w:rsidR="5D95589F">
        <w:rPr>
          <w:rFonts w:eastAsiaTheme="minorEastAsia"/>
          <w:sz w:val="22"/>
          <w:szCs w:val="22"/>
        </w:rPr>
        <w:t> </w:t>
      </w:r>
      <w:r w:rsidRPr="00D2095E" w:rsidR="00D2095E">
        <w:rPr>
          <w:rFonts w:eastAsiaTheme="minorEastAsia"/>
          <w:sz w:val="22"/>
          <w:szCs w:val="22"/>
        </w:rPr>
        <w:t>hemorrágico</w:t>
      </w:r>
      <w:r w:rsidRPr="241AA52D" w:rsidR="00D2095E">
        <w:rPr>
          <w:rFonts w:eastAsiaTheme="minorEastAsia"/>
          <w:sz w:val="22"/>
          <w:szCs w:val="22"/>
        </w:rPr>
        <w:t>, estaban</w:t>
      </w:r>
      <w:r w:rsidRPr="241AA52D">
        <w:rPr>
          <w:rFonts w:eastAsiaTheme="minorEastAsia"/>
          <w:sz w:val="22"/>
          <w:szCs w:val="22"/>
        </w:rPr>
        <w:t xml:space="preserve"> relacionados con el estado seronegativo antes de la vacunación, y que aquellos que no habían sido infectados antes podrían estar en riesgo de dengue grave con la vacunación. Este anuncio provocó la interrupción del programa y respaldó las dudas de algunos médicos e investigadores antes del lanzamiento de la vacuna que </w:t>
      </w:r>
      <w:r w:rsidRPr="241AA52D" w:rsidR="00D2095E">
        <w:rPr>
          <w:rFonts w:eastAsiaTheme="minorEastAsia"/>
          <w:sz w:val="22"/>
          <w:szCs w:val="22"/>
        </w:rPr>
        <w:t>creían podría</w:t>
      </w:r>
      <w:r w:rsidRPr="241AA52D">
        <w:rPr>
          <w:rFonts w:eastAsiaTheme="minorEastAsia"/>
          <w:sz w:val="22"/>
          <w:szCs w:val="22"/>
        </w:rPr>
        <w:t xml:space="preserve"> ser riesgosa para algunos niños. </w:t>
      </w:r>
    </w:p>
    <w:p w:rsidR="00A62B11" w:rsidP="241AA52D" w:rsidRDefault="00A62B11" w14:paraId="6BD90AD4" w14:textId="77777777">
      <w:pPr>
        <w:spacing w:after="0" w:line="276" w:lineRule="auto"/>
        <w:ind w:right="-142"/>
        <w:jc w:val="both"/>
        <w:rPr>
          <w:rFonts w:eastAsiaTheme="minorEastAsia"/>
          <w:sz w:val="22"/>
          <w:szCs w:val="22"/>
        </w:rPr>
      </w:pPr>
    </w:p>
    <w:p w:rsidR="0034470C" w:rsidP="241AA52D" w:rsidRDefault="23EA2BA8" w14:paraId="2E331F74" w14:textId="17ECA094">
      <w:pPr>
        <w:spacing w:after="0" w:line="276" w:lineRule="auto"/>
        <w:ind w:right="-142"/>
        <w:jc w:val="both"/>
        <w:rPr>
          <w:rFonts w:eastAsiaTheme="minorEastAsia"/>
          <w:sz w:val="22"/>
          <w:szCs w:val="22"/>
        </w:rPr>
      </w:pPr>
      <w:r w:rsidRPr="241AA52D">
        <w:rPr>
          <w:rFonts w:eastAsiaTheme="minorEastAsia"/>
          <w:sz w:val="22"/>
          <w:szCs w:val="22"/>
        </w:rPr>
        <w:t>El Departamento de Salud de Filipinas dijo en un comunicado que, de marzo de 2016 a marzo de 2018, un total de 3</w:t>
      </w:r>
      <w:r w:rsidRPr="241AA52D" w:rsidR="6AA35EB3">
        <w:rPr>
          <w:rFonts w:eastAsiaTheme="minorEastAsia"/>
          <w:sz w:val="22"/>
          <w:szCs w:val="22"/>
        </w:rPr>
        <w:t>.</w:t>
      </w:r>
      <w:r w:rsidRPr="241AA52D">
        <w:rPr>
          <w:rFonts w:eastAsiaTheme="minorEastAsia"/>
          <w:sz w:val="22"/>
          <w:szCs w:val="22"/>
        </w:rPr>
        <w:t xml:space="preserve">281 estudiantes que recibieron </w:t>
      </w:r>
      <w:proofErr w:type="spellStart"/>
      <w:r w:rsidRPr="241AA52D">
        <w:rPr>
          <w:rFonts w:eastAsiaTheme="minorEastAsia"/>
          <w:sz w:val="22"/>
          <w:szCs w:val="22"/>
        </w:rPr>
        <w:t>Dengvaxia</w:t>
      </w:r>
      <w:proofErr w:type="spellEnd"/>
      <w:r w:rsidRPr="241AA52D">
        <w:rPr>
          <w:rFonts w:eastAsiaTheme="minorEastAsia"/>
          <w:sz w:val="22"/>
          <w:szCs w:val="22"/>
        </w:rPr>
        <w:t xml:space="preserve"> como parte del programa de inmunización escolar fueron hospitalizados después de su vacunación por "diversas enfermedades", aunque finalmente fueron enviados a casa. El departamento de salud también reveló que se encontró que 1</w:t>
      </w:r>
      <w:r w:rsidRPr="241AA52D" w:rsidR="6AA35EB3">
        <w:rPr>
          <w:rFonts w:eastAsiaTheme="minorEastAsia"/>
          <w:sz w:val="22"/>
          <w:szCs w:val="22"/>
        </w:rPr>
        <w:t>.</w:t>
      </w:r>
      <w:r w:rsidRPr="241AA52D">
        <w:rPr>
          <w:rFonts w:eastAsiaTheme="minorEastAsia"/>
          <w:sz w:val="22"/>
          <w:szCs w:val="22"/>
        </w:rPr>
        <w:t>967 de los 3</w:t>
      </w:r>
      <w:r w:rsidRPr="241AA52D" w:rsidR="6AA35EB3">
        <w:rPr>
          <w:rFonts w:eastAsiaTheme="minorEastAsia"/>
          <w:sz w:val="22"/>
          <w:szCs w:val="22"/>
        </w:rPr>
        <w:t>.</w:t>
      </w:r>
      <w:r w:rsidRPr="241AA52D">
        <w:rPr>
          <w:rFonts w:eastAsiaTheme="minorEastAsia"/>
          <w:sz w:val="22"/>
          <w:szCs w:val="22"/>
        </w:rPr>
        <w:t xml:space="preserve">281 pacientes habían contraído dengue "según lo confirmado a través de pruebas clínicas y serológicas". El Grupo de Trabajo de Investigación de </w:t>
      </w:r>
      <w:proofErr w:type="spellStart"/>
      <w:r w:rsidRPr="241AA52D">
        <w:rPr>
          <w:rFonts w:eastAsiaTheme="minorEastAsia"/>
          <w:sz w:val="22"/>
          <w:szCs w:val="22"/>
        </w:rPr>
        <w:t>Dengvaxia</w:t>
      </w:r>
      <w:proofErr w:type="spellEnd"/>
      <w:r w:rsidRPr="241AA52D">
        <w:rPr>
          <w:rFonts w:eastAsiaTheme="minorEastAsia"/>
          <w:sz w:val="22"/>
          <w:szCs w:val="22"/>
        </w:rPr>
        <w:t xml:space="preserve"> (DITF) del Hospital General de Filipinas (PGH) se formó bajo las directivas del </w:t>
      </w:r>
      <w:r w:rsidRPr="241AA52D" w:rsidR="7AC100D5">
        <w:rPr>
          <w:rFonts w:eastAsiaTheme="minorEastAsia"/>
          <w:sz w:val="22"/>
          <w:szCs w:val="22"/>
        </w:rPr>
        <w:t>s</w:t>
      </w:r>
      <w:r w:rsidRPr="241AA52D">
        <w:rPr>
          <w:rFonts w:eastAsiaTheme="minorEastAsia"/>
          <w:sz w:val="22"/>
          <w:szCs w:val="22"/>
        </w:rPr>
        <w:t xml:space="preserve">ecretario del DOH y el director del PGH para servir como el cuerpo independiente de médicos expertos </w:t>
      </w:r>
      <w:r w:rsidRPr="241AA52D" w:rsidR="7C9A67A2">
        <w:rPr>
          <w:rFonts w:eastAsiaTheme="minorEastAsia"/>
          <w:sz w:val="22"/>
          <w:szCs w:val="22"/>
        </w:rPr>
        <w:t xml:space="preserve">que debían </w:t>
      </w:r>
      <w:r w:rsidRPr="241AA52D">
        <w:rPr>
          <w:rFonts w:eastAsiaTheme="minorEastAsia"/>
          <w:sz w:val="22"/>
          <w:szCs w:val="22"/>
        </w:rPr>
        <w:t xml:space="preserve">evaluar las muertes de 14 niños que recibieron de una a tres dosis de la vacuna </w:t>
      </w:r>
      <w:proofErr w:type="spellStart"/>
      <w:r w:rsidRPr="241AA52D">
        <w:rPr>
          <w:rFonts w:eastAsiaTheme="minorEastAsia"/>
          <w:sz w:val="22"/>
          <w:szCs w:val="22"/>
        </w:rPr>
        <w:t>Dengvaxia</w:t>
      </w:r>
      <w:proofErr w:type="spellEnd"/>
      <w:r w:rsidRPr="241AA52D">
        <w:rPr>
          <w:rFonts w:eastAsiaTheme="minorEastAsia"/>
          <w:sz w:val="22"/>
          <w:szCs w:val="22"/>
        </w:rPr>
        <w:t xml:space="preserve">. De los 14 casos evaluados, los resultados de la evaluación del DITF mostraron tres casos bajo la Categoría A1, lo que significaba consistencia con la asociación causal </w:t>
      </w:r>
      <w:r w:rsidRPr="241AA52D" w:rsidR="03049883">
        <w:rPr>
          <w:rFonts w:eastAsiaTheme="minorEastAsia"/>
          <w:sz w:val="22"/>
          <w:szCs w:val="22"/>
        </w:rPr>
        <w:t xml:space="preserve">de </w:t>
      </w:r>
      <w:r w:rsidRPr="241AA52D">
        <w:rPr>
          <w:rFonts w:eastAsiaTheme="minorEastAsia"/>
          <w:sz w:val="22"/>
          <w:szCs w:val="22"/>
        </w:rPr>
        <w:t xml:space="preserve">la inmunización relacionada con el producto de la vacuna, dos de los cuales implicaban un fallo de la vacuna. El DITF recomendó más investigaciones para aclarar mejor la naturaleza de la asociación </w:t>
      </w:r>
      <w:r w:rsidRPr="241AA52D" w:rsidR="5A6369EA">
        <w:rPr>
          <w:rFonts w:eastAsiaTheme="minorEastAsia"/>
          <w:sz w:val="22"/>
          <w:szCs w:val="22"/>
        </w:rPr>
        <w:t>de</w:t>
      </w:r>
      <w:r w:rsidRPr="241AA52D">
        <w:rPr>
          <w:rFonts w:eastAsiaTheme="minorEastAsia"/>
          <w:sz w:val="22"/>
          <w:szCs w:val="22"/>
        </w:rPr>
        <w:t xml:space="preserve"> la vacunación </w:t>
      </w:r>
      <w:r w:rsidRPr="241AA52D" w:rsidR="5A6369EA">
        <w:rPr>
          <w:rFonts w:eastAsiaTheme="minorEastAsia"/>
          <w:sz w:val="22"/>
          <w:szCs w:val="22"/>
        </w:rPr>
        <w:t>con</w:t>
      </w:r>
      <w:r w:rsidRPr="241AA52D">
        <w:rPr>
          <w:rFonts w:eastAsiaTheme="minorEastAsia"/>
          <w:sz w:val="22"/>
          <w:szCs w:val="22"/>
        </w:rPr>
        <w:t xml:space="preserve"> la causa de muerte para los tres casos A1 y los casos indeterminados.</w:t>
      </w:r>
    </w:p>
    <w:p w:rsidR="0034470C" w:rsidP="241AA52D" w:rsidRDefault="23EA2BA8" w14:paraId="6EABCF8E" w14:textId="2E8FD85F">
      <w:pPr>
        <w:spacing w:after="0" w:line="276" w:lineRule="auto"/>
        <w:ind w:right="-142"/>
        <w:jc w:val="both"/>
        <w:rPr>
          <w:rFonts w:eastAsiaTheme="minorEastAsia"/>
          <w:sz w:val="22"/>
          <w:szCs w:val="22"/>
        </w:rPr>
      </w:pPr>
      <w:r w:rsidRPr="241AA52D">
        <w:rPr>
          <w:rFonts w:eastAsiaTheme="minorEastAsia"/>
          <w:sz w:val="22"/>
          <w:szCs w:val="22"/>
        </w:rPr>
        <w:t xml:space="preserve"> </w:t>
      </w:r>
    </w:p>
    <w:p w:rsidR="0051073A" w:rsidP="2CF792AD" w:rsidRDefault="23EA2BA8" w14:paraId="7E48304A" w14:textId="77777777">
      <w:pPr>
        <w:spacing w:after="0" w:line="276" w:lineRule="auto"/>
        <w:ind w:right="-142"/>
        <w:jc w:val="both"/>
        <w:rPr>
          <w:rFonts w:eastAsiaTheme="minorEastAsia"/>
          <w:sz w:val="22"/>
          <w:szCs w:val="22"/>
        </w:rPr>
      </w:pPr>
      <w:r w:rsidRPr="2CF792AD">
        <w:rPr>
          <w:rFonts w:eastAsiaTheme="minorEastAsia"/>
          <w:sz w:val="22"/>
          <w:szCs w:val="22"/>
        </w:rPr>
        <w:t xml:space="preserve">Aunque los expertos médicos fueron muy cautelosos al atribuir la causa directa de la muerte a la vacuna, ciertos grupos dentro del gobierno filipino se apresuraron </w:t>
      </w:r>
      <w:r w:rsidRPr="2CF792AD" w:rsidR="697A9F69">
        <w:rPr>
          <w:rFonts w:eastAsiaTheme="minorEastAsia"/>
          <w:sz w:val="22"/>
          <w:szCs w:val="22"/>
        </w:rPr>
        <w:t xml:space="preserve">en </w:t>
      </w:r>
      <w:r w:rsidRPr="00C34516">
        <w:rPr>
          <w:rFonts w:eastAsiaTheme="minorEastAsia"/>
          <w:sz w:val="22"/>
          <w:szCs w:val="22"/>
        </w:rPr>
        <w:t>culpar</w:t>
      </w:r>
      <w:r w:rsidRPr="00C34516" w:rsidR="6F58E057">
        <w:rPr>
          <w:rFonts w:eastAsiaTheme="minorEastAsia"/>
          <w:sz w:val="22"/>
          <w:szCs w:val="22"/>
        </w:rPr>
        <w:t xml:space="preserve"> p</w:t>
      </w:r>
      <w:r w:rsidRPr="2CF792AD" w:rsidR="6F58E057">
        <w:rPr>
          <w:rFonts w:eastAsiaTheme="minorEastAsia"/>
          <w:sz w:val="22"/>
          <w:szCs w:val="22"/>
        </w:rPr>
        <w:t xml:space="preserve">rincipalmente a la </w:t>
      </w:r>
      <w:hyperlink r:id="rId13">
        <w:r w:rsidRPr="2CF792AD" w:rsidR="6F58E057">
          <w:rPr>
            <w:rStyle w:val="Hipervnculo"/>
            <w:rFonts w:eastAsiaTheme="minorEastAsia"/>
            <w:color w:val="auto"/>
            <w:sz w:val="22"/>
            <w:szCs w:val="22"/>
            <w:u w:val="none"/>
          </w:rPr>
          <w:t>Oficina del Fiscal Público (PAO)</w:t>
        </w:r>
      </w:hyperlink>
      <w:r w:rsidRPr="2CF792AD" w:rsidR="6F58E057">
        <w:rPr>
          <w:rFonts w:eastAsiaTheme="minorEastAsia"/>
          <w:sz w:val="22"/>
          <w:szCs w:val="22"/>
        </w:rPr>
        <w:t xml:space="preserve"> por generar pánico, aunque la PAO y otros señalaron a Sanofi Pasteur y a la exsecretaria de Salud </w:t>
      </w:r>
      <w:proofErr w:type="spellStart"/>
      <w:r w:rsidRPr="2CF792AD" w:rsidR="6F58E057">
        <w:rPr>
          <w:rFonts w:eastAsiaTheme="minorEastAsia"/>
          <w:sz w:val="22"/>
          <w:szCs w:val="22"/>
        </w:rPr>
        <w:t>Janette</w:t>
      </w:r>
      <w:proofErr w:type="spellEnd"/>
      <w:r w:rsidRPr="2CF792AD" w:rsidR="6F58E057">
        <w:rPr>
          <w:rFonts w:eastAsiaTheme="minorEastAsia"/>
          <w:sz w:val="22"/>
          <w:szCs w:val="22"/>
        </w:rPr>
        <w:t xml:space="preserve"> Garin, y a funcionarios de alto rango, de apresurar la implementación del programa de inmunización masiva, a pesar de las advertencias sobre la seguridad de la vacuna y la falta de datos definitivos</w:t>
      </w:r>
      <w:r w:rsidRPr="2CF792AD" w:rsidR="6F58E057">
        <w:rPr>
          <w:rFonts w:ascii="Arial" w:hAnsi="Arial" w:eastAsia="Arial" w:cs="Arial"/>
        </w:rPr>
        <w:t>.</w:t>
      </w:r>
      <w:r w:rsidR="008A0CD7">
        <w:rPr>
          <w:rFonts w:eastAsiaTheme="minorEastAsia"/>
          <w:sz w:val="22"/>
          <w:szCs w:val="22"/>
        </w:rPr>
        <w:t xml:space="preserve"> </w:t>
      </w:r>
      <w:r w:rsidRPr="2CF792AD">
        <w:rPr>
          <w:rFonts w:eastAsiaTheme="minorEastAsia"/>
          <w:sz w:val="22"/>
          <w:szCs w:val="22"/>
        </w:rPr>
        <w:t xml:space="preserve">Un análisis exhaustivo sobre la desinformación </w:t>
      </w:r>
      <w:r w:rsidRPr="2CF792AD" w:rsidR="3BFAD619">
        <w:rPr>
          <w:rFonts w:eastAsiaTheme="minorEastAsia"/>
          <w:sz w:val="22"/>
          <w:szCs w:val="22"/>
        </w:rPr>
        <w:t>acerca de</w:t>
      </w:r>
      <w:r w:rsidRPr="2CF792AD">
        <w:rPr>
          <w:rFonts w:eastAsiaTheme="minorEastAsia"/>
          <w:sz w:val="22"/>
          <w:szCs w:val="22"/>
        </w:rPr>
        <w:t xml:space="preserve"> la vacuna </w:t>
      </w:r>
      <w:proofErr w:type="spellStart"/>
      <w:r w:rsidRPr="2CF792AD">
        <w:rPr>
          <w:rFonts w:eastAsiaTheme="minorEastAsia"/>
          <w:sz w:val="22"/>
          <w:szCs w:val="22"/>
        </w:rPr>
        <w:t>Dengvaxia</w:t>
      </w:r>
      <w:proofErr w:type="spellEnd"/>
      <w:r w:rsidRPr="2CF792AD">
        <w:rPr>
          <w:rFonts w:eastAsiaTheme="minorEastAsia"/>
          <w:sz w:val="22"/>
          <w:szCs w:val="22"/>
        </w:rPr>
        <w:t xml:space="preserve"> realizado por Mason y Smith (2020) reveló cómo algunos sectores gubernamentales y medios de comunicación </w:t>
      </w:r>
      <w:proofErr w:type="spellStart"/>
      <w:r w:rsidRPr="2CF792AD">
        <w:rPr>
          <w:rFonts w:eastAsiaTheme="minorEastAsia"/>
          <w:sz w:val="22"/>
          <w:szCs w:val="22"/>
        </w:rPr>
        <w:t>sensacionalizaron</w:t>
      </w:r>
      <w:proofErr w:type="spellEnd"/>
      <w:r w:rsidRPr="2CF792AD">
        <w:rPr>
          <w:rFonts w:eastAsiaTheme="minorEastAsia"/>
          <w:sz w:val="22"/>
          <w:szCs w:val="22"/>
        </w:rPr>
        <w:t xml:space="preserve"> los problemas. </w:t>
      </w:r>
    </w:p>
    <w:p w:rsidR="0051073A" w:rsidP="2CF792AD" w:rsidRDefault="0051073A" w14:paraId="49609CD7" w14:textId="77777777">
      <w:pPr>
        <w:spacing w:after="0" w:line="276" w:lineRule="auto"/>
        <w:ind w:right="-142"/>
        <w:jc w:val="both"/>
        <w:rPr>
          <w:rFonts w:eastAsiaTheme="minorEastAsia"/>
          <w:sz w:val="22"/>
          <w:szCs w:val="22"/>
        </w:rPr>
      </w:pPr>
    </w:p>
    <w:p w:rsidR="00511494" w:rsidP="2CF792AD" w:rsidRDefault="23EA2BA8" w14:paraId="047E7BD0" w14:textId="32718DFB">
      <w:pPr>
        <w:spacing w:after="0" w:line="276" w:lineRule="auto"/>
        <w:ind w:right="-142"/>
        <w:jc w:val="both"/>
        <w:rPr>
          <w:rFonts w:eastAsiaTheme="minorEastAsia"/>
          <w:sz w:val="22"/>
          <w:szCs w:val="22"/>
        </w:rPr>
      </w:pPr>
      <w:r w:rsidRPr="2CF792AD">
        <w:rPr>
          <w:rFonts w:eastAsiaTheme="minorEastAsia"/>
          <w:sz w:val="22"/>
          <w:szCs w:val="22"/>
        </w:rPr>
        <w:t xml:space="preserve">Un equipo del gobierno realizó autopsias, a veces frente a equipos de televisión en vivo, que supuestamente vincularon las muertes con </w:t>
      </w:r>
      <w:proofErr w:type="spellStart"/>
      <w:r w:rsidRPr="2CF792AD">
        <w:rPr>
          <w:rFonts w:eastAsiaTheme="minorEastAsia"/>
          <w:sz w:val="22"/>
          <w:szCs w:val="22"/>
        </w:rPr>
        <w:t>Dengvaxia</w:t>
      </w:r>
      <w:proofErr w:type="spellEnd"/>
      <w:r w:rsidRPr="2CF792AD">
        <w:rPr>
          <w:rFonts w:eastAsiaTheme="minorEastAsia"/>
          <w:sz w:val="22"/>
          <w:szCs w:val="22"/>
        </w:rPr>
        <w:t xml:space="preserve">. Una investigación del Senado sobre el </w:t>
      </w:r>
      <w:r w:rsidRPr="2CF792AD">
        <w:rPr>
          <w:rFonts w:eastAsiaTheme="minorEastAsia"/>
          <w:sz w:val="22"/>
          <w:szCs w:val="22"/>
        </w:rPr>
        <w:lastRenderedPageBreak/>
        <w:t xml:space="preserve">debate de </w:t>
      </w:r>
      <w:proofErr w:type="spellStart"/>
      <w:r w:rsidRPr="2CF792AD">
        <w:rPr>
          <w:rFonts w:eastAsiaTheme="minorEastAsia"/>
          <w:sz w:val="22"/>
          <w:szCs w:val="22"/>
        </w:rPr>
        <w:t>Dengvaxia</w:t>
      </w:r>
      <w:proofErr w:type="spellEnd"/>
      <w:r w:rsidRPr="2CF792AD">
        <w:rPr>
          <w:rFonts w:eastAsiaTheme="minorEastAsia"/>
          <w:sz w:val="22"/>
          <w:szCs w:val="22"/>
        </w:rPr>
        <w:t xml:space="preserve"> fue televisada ampliamente, pero se centró más en las acusaciones de corrupción que en la seguridad de la vacuna, dejando un vacío que se llenó con información no verificada sobre la conexión de la vacuna con las muertes de niños. </w:t>
      </w:r>
    </w:p>
    <w:p w:rsidR="00511494" w:rsidP="241AA52D" w:rsidRDefault="00511494" w14:paraId="0F228607" w14:textId="77777777">
      <w:pPr>
        <w:spacing w:after="0" w:line="276" w:lineRule="auto"/>
        <w:ind w:right="-142"/>
        <w:jc w:val="both"/>
        <w:rPr>
          <w:rFonts w:eastAsiaTheme="minorEastAsia"/>
          <w:sz w:val="22"/>
          <w:szCs w:val="22"/>
        </w:rPr>
      </w:pPr>
    </w:p>
    <w:p w:rsidR="005335FF" w:rsidP="241AA52D" w:rsidRDefault="23EA2BA8" w14:paraId="0FF060F8" w14:textId="77777777">
      <w:pPr>
        <w:spacing w:after="0" w:line="276" w:lineRule="auto"/>
        <w:ind w:right="-142"/>
        <w:jc w:val="both"/>
        <w:rPr>
          <w:rFonts w:eastAsiaTheme="minorEastAsia"/>
          <w:sz w:val="22"/>
          <w:szCs w:val="22"/>
        </w:rPr>
      </w:pPr>
      <w:r w:rsidRPr="241AA52D">
        <w:rPr>
          <w:rFonts w:eastAsiaTheme="minorEastAsia"/>
          <w:sz w:val="22"/>
          <w:szCs w:val="22"/>
        </w:rPr>
        <w:t xml:space="preserve">Las redes sociales como Facebook, Twitter (ahora X) y los blogs de personalidades específicas difundieron narrativas sensacionalistas y teorías de conspiración contra </w:t>
      </w:r>
      <w:proofErr w:type="spellStart"/>
      <w:r w:rsidRPr="241AA52D">
        <w:rPr>
          <w:rFonts w:eastAsiaTheme="minorEastAsia"/>
          <w:sz w:val="22"/>
          <w:szCs w:val="22"/>
        </w:rPr>
        <w:t>Dengvaxia</w:t>
      </w:r>
      <w:proofErr w:type="spellEnd"/>
      <w:r w:rsidRPr="241AA52D">
        <w:rPr>
          <w:rFonts w:eastAsiaTheme="minorEastAsia"/>
          <w:sz w:val="22"/>
          <w:szCs w:val="22"/>
        </w:rPr>
        <w:t xml:space="preserve"> y sus defensores. El estudio presenta ejemplos de publicaciones en redes sociales, como: </w:t>
      </w:r>
      <w:r w:rsidRPr="008A0CD7">
        <w:rPr>
          <w:rFonts w:eastAsiaTheme="minorEastAsia"/>
          <w:i/>
          <w:iCs/>
          <w:sz w:val="22"/>
          <w:szCs w:val="22"/>
        </w:rPr>
        <w:t>"El fiasco de la vacuna contra el dengue conduce a cargos criminales para un investigador en Filipinas</w:t>
      </w:r>
      <w:r w:rsidRPr="241AA52D">
        <w:rPr>
          <w:rFonts w:eastAsiaTheme="minorEastAsia"/>
          <w:sz w:val="22"/>
          <w:szCs w:val="22"/>
        </w:rPr>
        <w:t xml:space="preserve">"; y </w:t>
      </w:r>
      <w:r w:rsidRPr="008A0CD7">
        <w:rPr>
          <w:rFonts w:eastAsiaTheme="minorEastAsia"/>
          <w:i/>
          <w:iCs/>
          <w:sz w:val="22"/>
          <w:szCs w:val="22"/>
        </w:rPr>
        <w:t xml:space="preserve">"¡Alarmante! Expertos forenses encuentran patrones en muertes de niños a quienes se les administró </w:t>
      </w:r>
      <w:proofErr w:type="spellStart"/>
      <w:r w:rsidRPr="008A0CD7">
        <w:rPr>
          <w:rFonts w:eastAsiaTheme="minorEastAsia"/>
          <w:i/>
          <w:iCs/>
          <w:sz w:val="22"/>
          <w:szCs w:val="22"/>
        </w:rPr>
        <w:t>Dengvaxia</w:t>
      </w:r>
      <w:proofErr w:type="spellEnd"/>
      <w:r w:rsidRPr="241AA52D">
        <w:rPr>
          <w:rFonts w:eastAsiaTheme="minorEastAsia"/>
          <w:sz w:val="22"/>
          <w:szCs w:val="22"/>
        </w:rPr>
        <w:t xml:space="preserve">", para resaltar el carácter sensacionalista de la difusión de noticias. </w:t>
      </w:r>
    </w:p>
    <w:p w:rsidR="005335FF" w:rsidP="241AA52D" w:rsidRDefault="005335FF" w14:paraId="30C75DDB" w14:textId="77777777">
      <w:pPr>
        <w:spacing w:after="0" w:line="276" w:lineRule="auto"/>
        <w:ind w:right="-142"/>
        <w:jc w:val="both"/>
        <w:rPr>
          <w:rFonts w:eastAsiaTheme="minorEastAsia"/>
          <w:sz w:val="22"/>
          <w:szCs w:val="22"/>
        </w:rPr>
      </w:pPr>
    </w:p>
    <w:p w:rsidR="0034470C" w:rsidP="241AA52D" w:rsidRDefault="23EA2BA8" w14:paraId="6A59FDE1" w14:textId="6439C709">
      <w:pPr>
        <w:spacing w:after="0" w:line="276" w:lineRule="auto"/>
        <w:ind w:right="-142"/>
        <w:jc w:val="both"/>
        <w:rPr>
          <w:rFonts w:eastAsiaTheme="minorEastAsia"/>
          <w:sz w:val="22"/>
          <w:szCs w:val="22"/>
        </w:rPr>
      </w:pPr>
      <w:r w:rsidRPr="241AA52D">
        <w:rPr>
          <w:rFonts w:eastAsiaTheme="minorEastAsia"/>
          <w:sz w:val="22"/>
          <w:szCs w:val="22"/>
        </w:rPr>
        <w:t xml:space="preserve">Los medios de comunicación tradicionales también desempeñaron un papel importante en avivar el pánico relacionado con la vacuna y debilitar la confianza en las instituciones públicas con historias impactantes, titulares y videos de madres llorando por las muertes de sus hijos </w:t>
      </w:r>
      <w:r w:rsidRPr="241AA52D" w:rsidR="08F3F573">
        <w:rPr>
          <w:rFonts w:eastAsiaTheme="minorEastAsia"/>
          <w:sz w:val="22"/>
          <w:szCs w:val="22"/>
        </w:rPr>
        <w:t xml:space="preserve">con una narrativa que hacía responsable </w:t>
      </w:r>
      <w:r w:rsidRPr="241AA52D">
        <w:rPr>
          <w:rFonts w:eastAsiaTheme="minorEastAsia"/>
          <w:sz w:val="22"/>
          <w:szCs w:val="22"/>
        </w:rPr>
        <w:t xml:space="preserve">a </w:t>
      </w:r>
      <w:proofErr w:type="spellStart"/>
      <w:r w:rsidRPr="241AA52D">
        <w:rPr>
          <w:rFonts w:eastAsiaTheme="minorEastAsia"/>
          <w:sz w:val="22"/>
          <w:szCs w:val="22"/>
        </w:rPr>
        <w:t>Dengvaxia</w:t>
      </w:r>
      <w:proofErr w:type="spellEnd"/>
      <w:r w:rsidRPr="241AA52D" w:rsidR="08F3F573">
        <w:rPr>
          <w:rFonts w:eastAsiaTheme="minorEastAsia"/>
          <w:sz w:val="22"/>
          <w:szCs w:val="22"/>
        </w:rPr>
        <w:t>, incluso cuando no habían concl</w:t>
      </w:r>
      <w:r w:rsidRPr="241AA52D" w:rsidR="551F38E2">
        <w:rPr>
          <w:rFonts w:eastAsiaTheme="minorEastAsia"/>
          <w:sz w:val="22"/>
          <w:szCs w:val="22"/>
        </w:rPr>
        <w:t>uido las investigaciones</w:t>
      </w:r>
      <w:r w:rsidRPr="241AA52D">
        <w:rPr>
          <w:rFonts w:eastAsiaTheme="minorEastAsia"/>
          <w:sz w:val="22"/>
          <w:szCs w:val="22"/>
        </w:rPr>
        <w:t xml:space="preserve">. Una caricatura editorial en un periódico mostró una conexión entre la "corrupción y la avaricia corporativa" con el "fiasco de la vacuna contra el dengue". Los expertos sugirieron que, en consecuencia, los "ciudadanos empobrecidos, sin educación y con pocos recursos del país sufrieron desproporcionadamente la desinformación sanitaria en torno a </w:t>
      </w:r>
      <w:proofErr w:type="spellStart"/>
      <w:r w:rsidRPr="241AA52D">
        <w:rPr>
          <w:rFonts w:eastAsiaTheme="minorEastAsia"/>
          <w:sz w:val="22"/>
          <w:szCs w:val="22"/>
        </w:rPr>
        <w:t>Dengvaxia</w:t>
      </w:r>
      <w:proofErr w:type="spellEnd"/>
      <w:r w:rsidRPr="241AA52D">
        <w:rPr>
          <w:rFonts w:eastAsiaTheme="minorEastAsia"/>
          <w:sz w:val="22"/>
          <w:szCs w:val="22"/>
        </w:rPr>
        <w:t xml:space="preserve"> en comparación con los grupos demográficos más pudientes". La Escuela de Higiene y Medicina Tropical de Londres (LSHTM) señal</w:t>
      </w:r>
      <w:r w:rsidRPr="241AA52D" w:rsidR="32E65C07">
        <w:rPr>
          <w:rFonts w:eastAsiaTheme="minorEastAsia"/>
          <w:sz w:val="22"/>
          <w:szCs w:val="22"/>
        </w:rPr>
        <w:t>ó en su momento</w:t>
      </w:r>
      <w:r w:rsidRPr="241AA52D">
        <w:rPr>
          <w:rFonts w:eastAsiaTheme="minorEastAsia"/>
          <w:sz w:val="22"/>
          <w:szCs w:val="22"/>
        </w:rPr>
        <w:t xml:space="preserve"> que la respuesta altamente politizada a la campaña contra </w:t>
      </w:r>
      <w:proofErr w:type="spellStart"/>
      <w:r w:rsidRPr="241AA52D">
        <w:rPr>
          <w:rFonts w:eastAsiaTheme="minorEastAsia"/>
          <w:sz w:val="22"/>
          <w:szCs w:val="22"/>
        </w:rPr>
        <w:t>Dengvaxia</w:t>
      </w:r>
      <w:proofErr w:type="spellEnd"/>
      <w:r w:rsidRPr="241AA52D">
        <w:rPr>
          <w:rFonts w:eastAsiaTheme="minorEastAsia"/>
          <w:sz w:val="22"/>
          <w:szCs w:val="22"/>
        </w:rPr>
        <w:t xml:space="preserve"> fue la razón principal del aumento de la reticencia a las vacunas y la desconfianza pública en Filipinas.</w:t>
      </w:r>
    </w:p>
    <w:p w:rsidR="0034470C" w:rsidP="241AA52D" w:rsidRDefault="23EA2BA8" w14:paraId="2EE8A073" w14:textId="4A24BED6">
      <w:pPr>
        <w:spacing w:after="0" w:line="276" w:lineRule="auto"/>
        <w:ind w:right="-142"/>
        <w:jc w:val="both"/>
        <w:rPr>
          <w:rFonts w:eastAsiaTheme="minorEastAsia"/>
          <w:sz w:val="22"/>
          <w:szCs w:val="22"/>
        </w:rPr>
      </w:pPr>
      <w:r w:rsidRPr="241AA52D">
        <w:rPr>
          <w:rFonts w:eastAsiaTheme="minorEastAsia"/>
          <w:sz w:val="22"/>
          <w:szCs w:val="22"/>
        </w:rPr>
        <w:t xml:space="preserve"> </w:t>
      </w:r>
    </w:p>
    <w:p w:rsidR="0034470C" w:rsidP="00B139DC" w:rsidRDefault="006C714D" w14:paraId="0A7740D7" w14:textId="5EC8B62F">
      <w:pPr>
        <w:spacing w:after="0" w:line="276" w:lineRule="auto"/>
        <w:ind w:right="-142"/>
        <w:jc w:val="both"/>
        <w:rPr>
          <w:rFonts w:eastAsiaTheme="minorEastAsia"/>
          <w:sz w:val="22"/>
          <w:szCs w:val="22"/>
        </w:rPr>
      </w:pPr>
      <w:r>
        <w:rPr>
          <w:rFonts w:eastAsiaTheme="minorEastAsia"/>
          <w:sz w:val="22"/>
          <w:szCs w:val="22"/>
        </w:rPr>
        <w:t>Bajo est</w:t>
      </w:r>
      <w:r w:rsidR="008B3E1A">
        <w:rPr>
          <w:rFonts w:eastAsiaTheme="minorEastAsia"/>
          <w:sz w:val="22"/>
          <w:szCs w:val="22"/>
        </w:rPr>
        <w:t>as investigaciones, e</w:t>
      </w:r>
      <w:r w:rsidRPr="1DD0773F" w:rsidR="14F5013D">
        <w:rPr>
          <w:rFonts w:eastAsiaTheme="minorEastAsia"/>
          <w:sz w:val="22"/>
          <w:szCs w:val="22"/>
        </w:rPr>
        <w:t>l programa de vacunación contra el dengue se detuvo repentinamente</w:t>
      </w:r>
      <w:r w:rsidR="0094281C">
        <w:rPr>
          <w:rFonts w:eastAsiaTheme="minorEastAsia"/>
          <w:sz w:val="22"/>
          <w:szCs w:val="22"/>
        </w:rPr>
        <w:t xml:space="preserve"> en diciembre de 2017</w:t>
      </w:r>
      <w:r w:rsidR="00247AB7">
        <w:rPr>
          <w:rFonts w:eastAsiaTheme="minorEastAsia"/>
          <w:sz w:val="22"/>
          <w:szCs w:val="22"/>
        </w:rPr>
        <w:t xml:space="preserve"> debido a l</w:t>
      </w:r>
      <w:r w:rsidR="00EB1DAB">
        <w:rPr>
          <w:rFonts w:eastAsiaTheme="minorEastAsia"/>
          <w:sz w:val="22"/>
          <w:szCs w:val="22"/>
        </w:rPr>
        <w:t xml:space="preserve">a </w:t>
      </w:r>
      <w:r w:rsidR="00247AB7">
        <w:rPr>
          <w:rFonts w:eastAsiaTheme="minorEastAsia"/>
          <w:sz w:val="22"/>
          <w:szCs w:val="22"/>
        </w:rPr>
        <w:t>cantidad de muertes de niños que habían sido vacunados</w:t>
      </w:r>
      <w:r w:rsidR="000F7556">
        <w:rPr>
          <w:rFonts w:eastAsiaTheme="minorEastAsia"/>
          <w:sz w:val="22"/>
          <w:szCs w:val="22"/>
        </w:rPr>
        <w:t>. Esta</w:t>
      </w:r>
      <w:r w:rsidR="009E24AB">
        <w:rPr>
          <w:rFonts w:eastAsiaTheme="minorEastAsia"/>
          <w:sz w:val="22"/>
          <w:szCs w:val="22"/>
        </w:rPr>
        <w:t xml:space="preserve"> suspensión</w:t>
      </w:r>
      <w:r w:rsidRPr="1DD0773F" w:rsidR="14F5013D">
        <w:rPr>
          <w:rFonts w:eastAsiaTheme="minorEastAsia"/>
          <w:sz w:val="22"/>
          <w:szCs w:val="22"/>
        </w:rPr>
        <w:t>, lo que atrajo aún más la atención de los medios de comunicación y los</w:t>
      </w:r>
      <w:r w:rsidR="00F324CE">
        <w:rPr>
          <w:rFonts w:eastAsiaTheme="minorEastAsia"/>
          <w:sz w:val="22"/>
          <w:szCs w:val="22"/>
        </w:rPr>
        <w:t xml:space="preserve"> distintos</w:t>
      </w:r>
      <w:r w:rsidRPr="1DD0773F" w:rsidR="14F5013D">
        <w:rPr>
          <w:rFonts w:eastAsiaTheme="minorEastAsia"/>
          <w:sz w:val="22"/>
          <w:szCs w:val="22"/>
        </w:rPr>
        <w:t xml:space="preserve"> </w:t>
      </w:r>
      <w:r w:rsidR="00F324CE">
        <w:rPr>
          <w:rFonts w:eastAsiaTheme="minorEastAsia"/>
          <w:sz w:val="22"/>
          <w:szCs w:val="22"/>
        </w:rPr>
        <w:t xml:space="preserve">sectores </w:t>
      </w:r>
      <w:r w:rsidRPr="1DD0773F" w:rsidR="14F5013D">
        <w:rPr>
          <w:rFonts w:eastAsiaTheme="minorEastAsia"/>
          <w:sz w:val="22"/>
          <w:szCs w:val="22"/>
        </w:rPr>
        <w:t xml:space="preserve">políticos, y planteó importantes cuestiones éticas. El </w:t>
      </w:r>
      <w:r w:rsidRPr="1DD0773F" w:rsidR="007B557E">
        <w:rPr>
          <w:rFonts w:eastAsiaTheme="minorEastAsia"/>
          <w:sz w:val="22"/>
          <w:szCs w:val="22"/>
        </w:rPr>
        <w:t>secretario</w:t>
      </w:r>
      <w:r w:rsidRPr="1DD0773F" w:rsidR="14F5013D">
        <w:rPr>
          <w:rFonts w:eastAsiaTheme="minorEastAsia"/>
          <w:sz w:val="22"/>
          <w:szCs w:val="22"/>
        </w:rPr>
        <w:t xml:space="preserve"> de Salud reveló que la farmacéutica </w:t>
      </w:r>
      <w:r w:rsidRPr="007B557E" w:rsidR="14F5013D">
        <w:rPr>
          <w:rFonts w:eastAsiaTheme="minorEastAsia"/>
          <w:i/>
          <w:iCs/>
          <w:sz w:val="22"/>
          <w:szCs w:val="22"/>
        </w:rPr>
        <w:t>Sanofi Pasteur</w:t>
      </w:r>
      <w:r w:rsidRPr="1DD0773F" w:rsidR="14F5013D">
        <w:rPr>
          <w:rFonts w:eastAsiaTheme="minorEastAsia"/>
          <w:sz w:val="22"/>
          <w:szCs w:val="22"/>
        </w:rPr>
        <w:t xml:space="preserve"> había reembolsado al gobierno aproximadamente 1.160 millones de pesos filipinos de los 1.400 millones de pesos filipinos que el Departamento de Salud le había solicitado. </w:t>
      </w:r>
    </w:p>
    <w:p w:rsidR="00444233" w:rsidP="00B139DC" w:rsidRDefault="00444233" w14:paraId="63F5E14A" w14:textId="77777777">
      <w:pPr>
        <w:spacing w:after="0" w:line="276" w:lineRule="auto"/>
        <w:ind w:right="-142"/>
        <w:jc w:val="both"/>
        <w:rPr>
          <w:rFonts w:eastAsiaTheme="minorEastAsia"/>
          <w:sz w:val="22"/>
          <w:szCs w:val="22"/>
        </w:rPr>
      </w:pPr>
    </w:p>
    <w:p w:rsidRPr="00E8365B" w:rsidR="00E8365B" w:rsidP="00E8365B" w:rsidRDefault="00E8365B" w14:paraId="7ED4447C" w14:textId="47909AE0">
      <w:pPr>
        <w:spacing w:after="0" w:line="276" w:lineRule="auto"/>
        <w:ind w:right="-142"/>
        <w:jc w:val="both"/>
        <w:rPr>
          <w:rFonts w:eastAsiaTheme="minorEastAsia"/>
          <w:sz w:val="22"/>
          <w:szCs w:val="22"/>
        </w:rPr>
      </w:pPr>
      <w:r w:rsidRPr="00E8365B">
        <w:rPr>
          <w:rFonts w:eastAsiaTheme="minorEastAsia"/>
          <w:sz w:val="22"/>
          <w:szCs w:val="22"/>
        </w:rPr>
        <w:t xml:space="preserve">El problema principal de esta controversia es que </w:t>
      </w:r>
      <w:r w:rsidRPr="007B557E">
        <w:rPr>
          <w:rFonts w:eastAsiaTheme="minorEastAsia"/>
          <w:sz w:val="22"/>
          <w:szCs w:val="22"/>
        </w:rPr>
        <w:t>la vacuna podía aumentar el riesgo de dengue grave e incluso de muerte en personas que nunca habían tenido dengue antes</w:t>
      </w:r>
      <w:r w:rsidRPr="00E8365B">
        <w:rPr>
          <w:rFonts w:eastAsiaTheme="minorEastAsia"/>
          <w:sz w:val="22"/>
          <w:szCs w:val="22"/>
        </w:rPr>
        <w:t>.</w:t>
      </w:r>
      <w:r>
        <w:rPr>
          <w:rFonts w:eastAsiaTheme="minorEastAsia"/>
          <w:sz w:val="22"/>
          <w:szCs w:val="22"/>
        </w:rPr>
        <w:t xml:space="preserve"> </w:t>
      </w:r>
      <w:r w:rsidRPr="00E8365B">
        <w:rPr>
          <w:rFonts w:eastAsiaTheme="minorEastAsia"/>
          <w:sz w:val="22"/>
          <w:szCs w:val="22"/>
        </w:rPr>
        <w:t xml:space="preserve">Esto se relaciona con la forma en que funciona la enfermedad. En el dengue, </w:t>
      </w:r>
      <w:r w:rsidRPr="007B557E">
        <w:rPr>
          <w:rFonts w:eastAsiaTheme="minorEastAsia"/>
          <w:sz w:val="22"/>
          <w:szCs w:val="22"/>
        </w:rPr>
        <w:t>la primera infección suele ser menos grave</w:t>
      </w:r>
      <w:r w:rsidRPr="00E8365B">
        <w:rPr>
          <w:rFonts w:eastAsiaTheme="minorEastAsia"/>
          <w:sz w:val="22"/>
          <w:szCs w:val="22"/>
        </w:rPr>
        <w:t xml:space="preserve">, pero </w:t>
      </w:r>
      <w:r w:rsidRPr="007B557E">
        <w:rPr>
          <w:rFonts w:eastAsiaTheme="minorEastAsia"/>
          <w:sz w:val="22"/>
          <w:szCs w:val="22"/>
        </w:rPr>
        <w:t>una segunda infección con una variante diferente del virus puede provocar síntomas mucho más severos</w:t>
      </w:r>
      <w:r w:rsidRPr="00E8365B">
        <w:rPr>
          <w:rFonts w:eastAsiaTheme="minorEastAsia"/>
          <w:sz w:val="22"/>
          <w:szCs w:val="22"/>
        </w:rPr>
        <w:t>.</w:t>
      </w:r>
      <w:r>
        <w:rPr>
          <w:rFonts w:eastAsiaTheme="minorEastAsia"/>
          <w:sz w:val="22"/>
          <w:szCs w:val="22"/>
        </w:rPr>
        <w:t xml:space="preserve"> </w:t>
      </w:r>
      <w:r w:rsidRPr="00E8365B">
        <w:rPr>
          <w:rFonts w:eastAsiaTheme="minorEastAsia"/>
          <w:sz w:val="22"/>
          <w:szCs w:val="22"/>
        </w:rPr>
        <w:t xml:space="preserve">Los científicos plantearon que </w:t>
      </w:r>
      <w:r w:rsidRPr="007B557E">
        <w:rPr>
          <w:rFonts w:eastAsiaTheme="minorEastAsia"/>
          <w:sz w:val="22"/>
          <w:szCs w:val="22"/>
        </w:rPr>
        <w:t>la vacuna podía actuar como si fuera una primera infección</w:t>
      </w:r>
      <w:r w:rsidRPr="00E8365B">
        <w:rPr>
          <w:rFonts w:eastAsiaTheme="minorEastAsia"/>
          <w:sz w:val="22"/>
          <w:szCs w:val="22"/>
        </w:rPr>
        <w:t xml:space="preserve">. Por lo tanto, si una persona vacunada que nunca había tenido dengue se infectaba después con el virus de forma natural, </w:t>
      </w:r>
      <w:r w:rsidRPr="007B557E">
        <w:rPr>
          <w:rFonts w:eastAsiaTheme="minorEastAsia"/>
          <w:sz w:val="22"/>
          <w:szCs w:val="22"/>
        </w:rPr>
        <w:t>su cuerpo podía reaccionar como si estuviera enfrentando una segunda infección</w:t>
      </w:r>
      <w:r w:rsidRPr="00E8365B">
        <w:rPr>
          <w:rFonts w:eastAsiaTheme="minorEastAsia"/>
          <w:sz w:val="22"/>
          <w:szCs w:val="22"/>
        </w:rPr>
        <w:t>, lo que aumentaba el riesgo de desarrollar dengue grave.</w:t>
      </w:r>
    </w:p>
    <w:p w:rsidRPr="00E8365B" w:rsidR="006D4CDE" w:rsidP="006D4CDE" w:rsidRDefault="006D4CDE" w14:paraId="70030102" w14:textId="7E073ACB">
      <w:pPr>
        <w:spacing w:after="0" w:line="276" w:lineRule="auto"/>
        <w:ind w:right="-142"/>
        <w:jc w:val="both"/>
        <w:rPr>
          <w:rFonts w:eastAsiaTheme="minorEastAsia"/>
          <w:sz w:val="22"/>
          <w:szCs w:val="22"/>
        </w:rPr>
      </w:pPr>
    </w:p>
    <w:p w:rsidR="006D4CDE" w:rsidP="2CF792AD" w:rsidRDefault="78E55F2D" w14:paraId="3E4A9759" w14:textId="17B2AADD">
      <w:pPr>
        <w:spacing w:after="0" w:line="276" w:lineRule="auto"/>
        <w:ind w:right="-142"/>
        <w:jc w:val="both"/>
        <w:rPr>
          <w:rFonts w:eastAsiaTheme="minorEastAsia"/>
          <w:sz w:val="22"/>
          <w:szCs w:val="22"/>
        </w:rPr>
      </w:pPr>
      <w:r w:rsidRPr="2CF792AD">
        <w:rPr>
          <w:rFonts w:eastAsiaTheme="minorEastAsia"/>
          <w:sz w:val="22"/>
          <w:szCs w:val="22"/>
        </w:rPr>
        <w:lastRenderedPageBreak/>
        <w:t xml:space="preserve">En 2018, la OMS recomendó que la detección previa de la infección por dengue era preferible, pero </w:t>
      </w:r>
      <w:r w:rsidRPr="2CF792AD" w:rsidR="493F93AB">
        <w:rPr>
          <w:rFonts w:eastAsiaTheme="minorEastAsia"/>
          <w:sz w:val="22"/>
          <w:szCs w:val="22"/>
        </w:rPr>
        <w:t>que,</w:t>
      </w:r>
      <w:r w:rsidRPr="2CF792AD">
        <w:rPr>
          <w:rFonts w:eastAsiaTheme="minorEastAsia"/>
          <w:sz w:val="22"/>
          <w:szCs w:val="22"/>
        </w:rPr>
        <w:t xml:space="preserve"> </w:t>
      </w:r>
      <w:r w:rsidRPr="2CF792AD" w:rsidR="74BA315F">
        <w:rPr>
          <w:rFonts w:eastAsiaTheme="minorEastAsia"/>
          <w:sz w:val="22"/>
          <w:szCs w:val="22"/>
        </w:rPr>
        <w:t xml:space="preserve">en los casos en los que no </w:t>
      </w:r>
      <w:r w:rsidRPr="2CF792AD">
        <w:rPr>
          <w:rFonts w:eastAsiaTheme="minorEastAsia"/>
          <w:sz w:val="22"/>
          <w:szCs w:val="22"/>
        </w:rPr>
        <w:t xml:space="preserve">es posible, se podrían administrar programas generales de vacunación contra el dengue a personas de nueve años o más, si la población tenía una tasa de endemicidad del dengue superior al 80 %. En junio de 2021, el Comité Asesor sobre Prácticas de Inmunización (ACIP) de los </w:t>
      </w:r>
      <w:r w:rsidRPr="002A7445">
        <w:rPr>
          <w:rFonts w:eastAsiaTheme="minorEastAsia"/>
          <w:sz w:val="22"/>
          <w:szCs w:val="22"/>
        </w:rPr>
        <w:t>CDC</w:t>
      </w:r>
      <w:r w:rsidRPr="002A7445" w:rsidR="68CCEBFD">
        <w:rPr>
          <w:rFonts w:eastAsiaTheme="minorEastAsia"/>
          <w:sz w:val="22"/>
          <w:szCs w:val="22"/>
        </w:rPr>
        <w:t xml:space="preserve"> (Centros</w:t>
      </w:r>
      <w:r w:rsidRPr="2CF792AD" w:rsidR="68CCEBFD">
        <w:rPr>
          <w:rFonts w:eastAsiaTheme="minorEastAsia"/>
          <w:sz w:val="22"/>
          <w:szCs w:val="22"/>
        </w:rPr>
        <w:t xml:space="preserve"> para el Control y la Prevención de Enfermedades de EE. UU, agencia federal que evalúa la seguridad y eficacia de las vacunas),</w:t>
      </w:r>
      <w:r w:rsidRPr="2CF792AD" w:rsidR="68CCEBFD">
        <w:rPr>
          <w:rFonts w:ascii="Arial" w:hAnsi="Arial" w:eastAsia="Arial" w:cs="Arial"/>
        </w:rPr>
        <w:t xml:space="preserve"> </w:t>
      </w:r>
      <w:r w:rsidRPr="2CF792AD">
        <w:rPr>
          <w:rFonts w:eastAsiaTheme="minorEastAsia"/>
          <w:sz w:val="22"/>
          <w:szCs w:val="22"/>
        </w:rPr>
        <w:t xml:space="preserve">recomendó el uso de </w:t>
      </w:r>
      <w:proofErr w:type="spellStart"/>
      <w:r w:rsidRPr="2CF792AD">
        <w:rPr>
          <w:rFonts w:eastAsiaTheme="minorEastAsia"/>
          <w:sz w:val="22"/>
          <w:szCs w:val="22"/>
        </w:rPr>
        <w:t>Dengvaxia</w:t>
      </w:r>
      <w:proofErr w:type="spellEnd"/>
      <w:r w:rsidRPr="2CF792AD">
        <w:rPr>
          <w:rFonts w:eastAsiaTheme="minorEastAsia"/>
          <w:sz w:val="22"/>
          <w:szCs w:val="22"/>
        </w:rPr>
        <w:t xml:space="preserve"> para prevenir el dengue en niños de 9 a 16 años, con infección previa por el virus del dengue confirmada por laboratorio y que viven en áreas donde el dengue es común.</w:t>
      </w:r>
    </w:p>
    <w:p w:rsidR="00B151FE" w:rsidP="006D4CDE" w:rsidRDefault="00B151FE" w14:paraId="3EF2F8B6" w14:textId="77777777">
      <w:pPr>
        <w:spacing w:after="0" w:line="276" w:lineRule="auto"/>
        <w:ind w:right="-142"/>
        <w:jc w:val="both"/>
        <w:rPr>
          <w:rFonts w:eastAsiaTheme="minorEastAsia"/>
          <w:sz w:val="22"/>
          <w:szCs w:val="22"/>
        </w:rPr>
      </w:pPr>
    </w:p>
    <w:p w:rsidR="006D4CDE" w:rsidP="004F4D85" w:rsidRDefault="00B151FE" w14:paraId="4E9D0148" w14:textId="0A99B3C6">
      <w:pPr>
        <w:spacing w:after="0" w:line="276" w:lineRule="auto"/>
        <w:ind w:right="-142"/>
        <w:jc w:val="both"/>
        <w:rPr>
          <w:rFonts w:eastAsiaTheme="minorEastAsia"/>
          <w:sz w:val="22"/>
          <w:szCs w:val="22"/>
        </w:rPr>
      </w:pPr>
      <w:r w:rsidRPr="1DD0773F">
        <w:rPr>
          <w:rFonts w:eastAsiaTheme="minorEastAsia"/>
          <w:sz w:val="22"/>
          <w:szCs w:val="22"/>
        </w:rPr>
        <w:t xml:space="preserve">Fue </w:t>
      </w:r>
      <w:r>
        <w:rPr>
          <w:rFonts w:eastAsiaTheme="minorEastAsia"/>
          <w:sz w:val="22"/>
          <w:szCs w:val="22"/>
        </w:rPr>
        <w:t xml:space="preserve">hasta </w:t>
      </w:r>
      <w:r w:rsidRPr="1DD0773F">
        <w:rPr>
          <w:rFonts w:eastAsiaTheme="minorEastAsia"/>
          <w:sz w:val="22"/>
          <w:szCs w:val="22"/>
        </w:rPr>
        <w:t xml:space="preserve">febrero de 2019 cuando la Administración de Alimentos y Medicamentos de Filipinas finalmente retiró permanentemente la licencia de la vacuna, alegando que Sanofi incumplió sus compromisos. En marzo de ese </w:t>
      </w:r>
      <w:r>
        <w:rPr>
          <w:rFonts w:eastAsiaTheme="minorEastAsia"/>
          <w:sz w:val="22"/>
          <w:szCs w:val="22"/>
        </w:rPr>
        <w:t xml:space="preserve">mismo </w:t>
      </w:r>
      <w:r w:rsidRPr="1DD0773F">
        <w:rPr>
          <w:rFonts w:eastAsiaTheme="minorEastAsia"/>
          <w:sz w:val="22"/>
          <w:szCs w:val="22"/>
        </w:rPr>
        <w:t>año, el Departamento de Justicia se disponía a presentar cargos contra el personal de Sanofi y las autoridades sanitarias filipinas.</w:t>
      </w:r>
    </w:p>
    <w:p w:rsidR="004F4D85" w:rsidP="004F4D85" w:rsidRDefault="004F4D85" w14:paraId="1D83690A" w14:textId="77777777">
      <w:pPr>
        <w:spacing w:after="0" w:line="276" w:lineRule="auto"/>
        <w:ind w:right="-142"/>
        <w:jc w:val="both"/>
        <w:rPr>
          <w:rFonts w:eastAsiaTheme="minorEastAsia"/>
          <w:sz w:val="22"/>
          <w:szCs w:val="22"/>
        </w:rPr>
      </w:pPr>
    </w:p>
    <w:p w:rsidRPr="009E28F8" w:rsidR="002F1890" w:rsidP="004F4D85" w:rsidRDefault="002F1890" w14:paraId="39F7D7FE" w14:textId="115E8508">
      <w:pPr>
        <w:jc w:val="both"/>
        <w:rPr>
          <w:rFonts w:eastAsiaTheme="minorEastAsia"/>
          <w:sz w:val="20"/>
          <w:szCs w:val="20"/>
        </w:rPr>
      </w:pPr>
      <w:r w:rsidRPr="009E28F8">
        <w:rPr>
          <w:sz w:val="22"/>
          <w:szCs w:val="22"/>
        </w:rPr>
        <w:t>Este caso</w:t>
      </w:r>
      <w:r w:rsidRPr="009E28F8" w:rsidR="001344CD">
        <w:rPr>
          <w:sz w:val="22"/>
          <w:szCs w:val="22"/>
        </w:rPr>
        <w:t xml:space="preserve"> constituye un ejemplo relevante de los desafíos que enfrentan los programas de salud pública cuando deben operar en contextos de incertidumbre científica, alta presión política y fuerte exposición mediática. Aunque la iniciativa buscaba reducir la incidencia de una enfermedad endémica que afecta a millones de personas en el país, la implementación del programa evidenció importantes debilidades en la gestión del riesgo, la comunicación científica y la gobernanza interinstitucional.</w:t>
      </w:r>
    </w:p>
    <w:p w:rsidR="001344CD" w:rsidP="001344CD" w:rsidRDefault="001344CD" w14:paraId="1FBB5135" w14:textId="77777777">
      <w:pPr>
        <w:spacing w:after="0" w:line="276" w:lineRule="auto"/>
        <w:ind w:right="-142"/>
        <w:jc w:val="both"/>
        <w:rPr>
          <w:rFonts w:eastAsiaTheme="minorEastAsia"/>
          <w:sz w:val="22"/>
          <w:szCs w:val="22"/>
        </w:rPr>
      </w:pPr>
      <w:r w:rsidRPr="001344CD">
        <w:rPr>
          <w:rFonts w:eastAsiaTheme="minorEastAsia"/>
          <w:sz w:val="22"/>
          <w:szCs w:val="22"/>
        </w:rPr>
        <w:t>La decisión de implementar el programa de manera acelerada, antes de contar con evidencia completa sobre los posibles efectos adversos de la vacuna en poblaciones sin infección previa, generó un escenario de vulnerabilidad institucional. A esto se sumaron problemas en la comunicación del riesgo por parte del fabricante y de las autoridades sanitarias, así como la falta de una adecuada identificación de la población objetivo, lo que derivó en la vacunación de niños cuya condición inmunológica frente al dengue no había sido verificada. Cuando posteriormente se conoció que la vacuna podía aumentar el riesgo de dengue grave en personas sin infección previa, la situación escaló rápidamente hacia una crisis sanitaria, política y comunicacional.</w:t>
      </w:r>
    </w:p>
    <w:p w:rsidRPr="001344CD" w:rsidR="002F1890" w:rsidP="001344CD" w:rsidRDefault="002F1890" w14:paraId="770385C2" w14:textId="77777777">
      <w:pPr>
        <w:spacing w:after="0" w:line="276" w:lineRule="auto"/>
        <w:ind w:right="-142"/>
        <w:jc w:val="both"/>
        <w:rPr>
          <w:rFonts w:eastAsiaTheme="minorEastAsia"/>
          <w:sz w:val="22"/>
          <w:szCs w:val="22"/>
        </w:rPr>
      </w:pPr>
    </w:p>
    <w:p w:rsidR="001344CD" w:rsidP="001344CD" w:rsidRDefault="001344CD" w14:paraId="70272FC6" w14:textId="77777777">
      <w:pPr>
        <w:spacing w:after="0" w:line="276" w:lineRule="auto"/>
        <w:ind w:right="-142"/>
        <w:jc w:val="both"/>
        <w:rPr>
          <w:rFonts w:eastAsiaTheme="minorEastAsia"/>
          <w:sz w:val="22"/>
          <w:szCs w:val="22"/>
        </w:rPr>
      </w:pPr>
      <w:r w:rsidRPr="001344CD">
        <w:rPr>
          <w:rFonts w:eastAsiaTheme="minorEastAsia"/>
          <w:sz w:val="22"/>
          <w:szCs w:val="22"/>
        </w:rPr>
        <w:t>Las consecuencias trascendieron el programa específico de vacunación contra el dengue. La intensa cobertura mediática, las investigaciones políticas y la polarización del debate público erosionaron significativamente la confianza de la población en las instituciones de salud y en las vacunas en general. Como resultado, en los años posteriores se registró una disminución en las tasas de vacunación infantil y la reaparición de brotes de enfermedades prevenibles, como el sarampión, lo que evidencia cómo una crisis mal gestionada puede afectar de manera sistémica los programas de salud pública.</w:t>
      </w:r>
    </w:p>
    <w:p w:rsidRPr="001344CD" w:rsidR="002F1890" w:rsidP="001344CD" w:rsidRDefault="002F1890" w14:paraId="0CC2B0C4" w14:textId="77777777">
      <w:pPr>
        <w:spacing w:after="0" w:line="276" w:lineRule="auto"/>
        <w:ind w:right="-142"/>
        <w:jc w:val="both"/>
        <w:rPr>
          <w:rFonts w:eastAsiaTheme="minorEastAsia"/>
          <w:sz w:val="22"/>
          <w:szCs w:val="22"/>
        </w:rPr>
      </w:pPr>
    </w:p>
    <w:p w:rsidR="001344CD" w:rsidP="001344CD" w:rsidRDefault="001344CD" w14:paraId="2A60B0BF" w14:textId="77777777">
      <w:pPr>
        <w:spacing w:after="0" w:line="276" w:lineRule="auto"/>
        <w:ind w:right="-142"/>
        <w:jc w:val="both"/>
        <w:rPr>
          <w:rFonts w:eastAsiaTheme="minorEastAsia"/>
          <w:sz w:val="22"/>
          <w:szCs w:val="22"/>
        </w:rPr>
      </w:pPr>
      <w:r w:rsidRPr="001344CD">
        <w:rPr>
          <w:rFonts w:eastAsiaTheme="minorEastAsia"/>
          <w:sz w:val="22"/>
          <w:szCs w:val="22"/>
        </w:rPr>
        <w:t xml:space="preserve">En términos de gestión de riesgos organizacionales, el caso pone de manifiesto varias lecciones importantes. En primer lugar, la necesidad de incorporar mecanismos robustos para la gestión de la incertidumbre científica en la formulación y ejecución de políticas públicas. En segundo lugar, la importancia de desarrollar estrategias claras y transparentes de comunicación del riesgo que </w:t>
      </w:r>
      <w:r w:rsidRPr="001344CD">
        <w:rPr>
          <w:rFonts w:eastAsiaTheme="minorEastAsia"/>
          <w:sz w:val="22"/>
          <w:szCs w:val="22"/>
        </w:rPr>
        <w:lastRenderedPageBreak/>
        <w:t>permitan mantener la confianza ciudadana incluso en escenarios de información cambiante. Finalmente, el caso resalta la relevancia de fortalecer la coordinación entre gobiernos, organismos reguladores, comunidad científica y sector privado, con el fin de garantizar procesos de toma de decisiones más sólidos y responsables.</w:t>
      </w:r>
    </w:p>
    <w:p w:rsidRPr="001344CD" w:rsidR="002F1890" w:rsidP="001344CD" w:rsidRDefault="002F1890" w14:paraId="75327A55" w14:textId="77777777">
      <w:pPr>
        <w:spacing w:after="0" w:line="276" w:lineRule="auto"/>
        <w:ind w:right="-142"/>
        <w:jc w:val="both"/>
        <w:rPr>
          <w:rFonts w:eastAsiaTheme="minorEastAsia"/>
          <w:sz w:val="22"/>
          <w:szCs w:val="22"/>
        </w:rPr>
      </w:pPr>
    </w:p>
    <w:p w:rsidRPr="0007361C" w:rsidR="00771E33" w:rsidP="0007361C" w:rsidRDefault="001344CD" w14:paraId="7B773B8C" w14:textId="139433DA">
      <w:pPr>
        <w:spacing w:after="0" w:line="276" w:lineRule="auto"/>
        <w:ind w:right="-142"/>
        <w:jc w:val="both"/>
        <w:rPr>
          <w:rFonts w:eastAsiaTheme="minorEastAsia"/>
          <w:sz w:val="22"/>
          <w:szCs w:val="22"/>
        </w:rPr>
      </w:pPr>
      <w:r w:rsidRPr="001344CD">
        <w:rPr>
          <w:rFonts w:eastAsiaTheme="minorEastAsia"/>
          <w:sz w:val="22"/>
          <w:szCs w:val="22"/>
        </w:rPr>
        <w:t>En síntesis, el caso de Filipinas demuestra que el éxito de un programa de salud pública no depende únicamente de la disponibilidad de una tecnología médica innovadora, sino también de la calidad de la gobernanza, la gestión del riesgo y la confianza pública en las instituciones. La experiencia ofrece una valiosa lección para futuros programas de vacunación y para la formulación de políticas públicas en contextos de incertidumbre, donde la transparencia, la prudencia científica y la coordinación institucional son elementos fundamentales para preservar la legitimidad del sistema de salud y proteger el bienestar colectivo.</w:t>
      </w:r>
    </w:p>
    <w:p w:rsidR="00771E33" w:rsidP="0099281B" w:rsidRDefault="00771E33" w14:paraId="7DA4DBD4" w14:textId="77777777">
      <w:pPr>
        <w:spacing w:line="276" w:lineRule="auto"/>
        <w:rPr>
          <w:highlight w:val="yellow"/>
        </w:rPr>
      </w:pPr>
    </w:p>
    <w:p w:rsidRPr="00735B53" w:rsidR="00834E57" w:rsidP="0099281B" w:rsidRDefault="00873E49" w14:paraId="04AE8B22" w14:textId="65E2F092">
      <w:pPr>
        <w:pStyle w:val="Ttulo2"/>
        <w:numPr>
          <w:ilvl w:val="1"/>
          <w:numId w:val="6"/>
        </w:numPr>
        <w:spacing w:line="276" w:lineRule="auto"/>
        <w:rPr>
          <w:rFonts w:eastAsia="Times New Roman" w:asciiTheme="minorHAnsi" w:hAnsiTheme="minorHAnsi"/>
          <w:b/>
          <w:bCs/>
          <w:color w:val="auto"/>
          <w:sz w:val="24"/>
          <w:szCs w:val="24"/>
        </w:rPr>
      </w:pPr>
      <w:bookmarkStart w:name="_Toc225160616" w:id="21"/>
      <w:r w:rsidRPr="00735B53">
        <w:rPr>
          <w:rFonts w:eastAsia="Times New Roman" w:asciiTheme="minorHAnsi" w:hAnsiTheme="minorHAnsi"/>
          <w:b/>
          <w:color w:val="auto"/>
          <w:sz w:val="24"/>
          <w:szCs w:val="24"/>
        </w:rPr>
        <w:t>Es</w:t>
      </w:r>
      <w:r w:rsidRPr="00735B53" w:rsidR="00231A06">
        <w:rPr>
          <w:rFonts w:eastAsia="Times New Roman" w:asciiTheme="minorHAnsi" w:hAnsiTheme="minorHAnsi"/>
          <w:b/>
          <w:color w:val="auto"/>
          <w:sz w:val="24"/>
          <w:szCs w:val="24"/>
        </w:rPr>
        <w:t>cándalos regulatorios</w:t>
      </w:r>
      <w:r w:rsidRPr="00735B53" w:rsidR="00997519">
        <w:rPr>
          <w:rFonts w:eastAsia="Times New Roman" w:asciiTheme="minorHAnsi" w:hAnsiTheme="minorHAnsi"/>
          <w:b/>
          <w:color w:val="auto"/>
          <w:sz w:val="24"/>
          <w:szCs w:val="24"/>
        </w:rPr>
        <w:t xml:space="preserve"> </w:t>
      </w:r>
      <w:r w:rsidRPr="00735B53" w:rsidR="008C0C32">
        <w:rPr>
          <w:rFonts w:eastAsia="Times New Roman" w:asciiTheme="minorHAnsi" w:hAnsiTheme="minorHAnsi"/>
          <w:b/>
          <w:color w:val="auto"/>
          <w:sz w:val="24"/>
          <w:szCs w:val="24"/>
        </w:rPr>
        <w:t>documentados</w:t>
      </w:r>
      <w:bookmarkEnd w:id="21"/>
      <w:r w:rsidRPr="00735B53" w:rsidR="28F4D4FD">
        <w:rPr>
          <w:rFonts w:eastAsia="Times New Roman" w:asciiTheme="minorHAnsi" w:hAnsiTheme="minorHAnsi"/>
          <w:b/>
          <w:bCs/>
          <w:color w:val="auto"/>
          <w:sz w:val="24"/>
          <w:szCs w:val="24"/>
        </w:rPr>
        <w:t xml:space="preserve"> </w:t>
      </w:r>
    </w:p>
    <w:p w:rsidR="0042017E" w:rsidP="0042017E" w:rsidRDefault="0042017E" w14:paraId="28C05833" w14:textId="77777777">
      <w:pPr>
        <w:rPr>
          <w:highlight w:val="yellow"/>
        </w:rPr>
      </w:pPr>
    </w:p>
    <w:p w:rsidR="008D29CC" w:rsidP="008D29CC" w:rsidRDefault="0042017E" w14:paraId="0E30CD18" w14:textId="3E6D84A1">
      <w:pPr>
        <w:spacing w:line="276" w:lineRule="auto"/>
        <w:jc w:val="both"/>
        <w:rPr>
          <w:sz w:val="22"/>
          <w:szCs w:val="22"/>
        </w:rPr>
      </w:pPr>
      <w:r w:rsidRPr="00DD2D8C">
        <w:rPr>
          <w:sz w:val="22"/>
          <w:szCs w:val="22"/>
        </w:rPr>
        <w:t>Los</w:t>
      </w:r>
      <w:r w:rsidR="00DD2D8C">
        <w:rPr>
          <w:sz w:val="22"/>
          <w:szCs w:val="22"/>
        </w:rPr>
        <w:t xml:space="preserve"> </w:t>
      </w:r>
      <w:r w:rsidRPr="00DD2D8C">
        <w:rPr>
          <w:sz w:val="22"/>
          <w:szCs w:val="22"/>
        </w:rPr>
        <w:t>casos</w:t>
      </w:r>
      <w:r w:rsidR="00DD2D8C">
        <w:rPr>
          <w:sz w:val="22"/>
          <w:szCs w:val="22"/>
        </w:rPr>
        <w:t xml:space="preserve"> </w:t>
      </w:r>
      <w:proofErr w:type="spellStart"/>
      <w:r w:rsidRPr="00DD2D8C">
        <w:rPr>
          <w:sz w:val="22"/>
          <w:szCs w:val="22"/>
        </w:rPr>
        <w:t>Dieselgate</w:t>
      </w:r>
      <w:proofErr w:type="spellEnd"/>
      <w:r w:rsidR="00DD2D8C">
        <w:rPr>
          <w:sz w:val="22"/>
          <w:szCs w:val="22"/>
        </w:rPr>
        <w:t xml:space="preserve"> </w:t>
      </w:r>
      <w:r w:rsidRPr="00DD2D8C">
        <w:rPr>
          <w:sz w:val="22"/>
          <w:szCs w:val="22"/>
        </w:rPr>
        <w:t>(Volkswagen</w:t>
      </w:r>
      <w:r w:rsidR="00DD2D8C">
        <w:rPr>
          <w:sz w:val="22"/>
          <w:szCs w:val="22"/>
        </w:rPr>
        <w:t xml:space="preserve"> </w:t>
      </w:r>
      <w:proofErr w:type="spellStart"/>
      <w:r w:rsidRPr="00DD2D8C">
        <w:rPr>
          <w:sz w:val="22"/>
          <w:szCs w:val="22"/>
        </w:rPr>
        <w:t>Emissions</w:t>
      </w:r>
      <w:proofErr w:type="spellEnd"/>
      <w:r w:rsidR="00DD2D8C">
        <w:rPr>
          <w:sz w:val="22"/>
          <w:szCs w:val="22"/>
        </w:rPr>
        <w:t xml:space="preserve"> </w:t>
      </w:r>
      <w:proofErr w:type="spellStart"/>
      <w:r w:rsidRPr="00DD2D8C">
        <w:rPr>
          <w:sz w:val="22"/>
          <w:szCs w:val="22"/>
        </w:rPr>
        <w:t>Scandal</w:t>
      </w:r>
      <w:proofErr w:type="spellEnd"/>
      <w:r w:rsidRPr="00DD2D8C">
        <w:rPr>
          <w:sz w:val="22"/>
          <w:szCs w:val="22"/>
        </w:rPr>
        <w:t>)</w:t>
      </w:r>
      <w:r w:rsidR="00DD2D8C">
        <w:rPr>
          <w:sz w:val="22"/>
          <w:szCs w:val="22"/>
        </w:rPr>
        <w:t xml:space="preserve"> </w:t>
      </w:r>
      <w:r w:rsidRPr="00DD2D8C">
        <w:rPr>
          <w:sz w:val="22"/>
          <w:szCs w:val="22"/>
        </w:rPr>
        <w:t>y</w:t>
      </w:r>
      <w:r w:rsidR="00DD2D8C">
        <w:rPr>
          <w:sz w:val="22"/>
          <w:szCs w:val="22"/>
        </w:rPr>
        <w:t xml:space="preserve"> </w:t>
      </w:r>
      <w:proofErr w:type="spellStart"/>
      <w:r w:rsidRPr="00DD2D8C">
        <w:rPr>
          <w:sz w:val="22"/>
          <w:szCs w:val="22"/>
        </w:rPr>
        <w:t>Theranos</w:t>
      </w:r>
      <w:proofErr w:type="spellEnd"/>
      <w:r w:rsidR="00DD2D8C">
        <w:rPr>
          <w:sz w:val="22"/>
          <w:szCs w:val="22"/>
        </w:rPr>
        <w:t xml:space="preserve"> </w:t>
      </w:r>
      <w:r w:rsidRPr="00DD2D8C">
        <w:rPr>
          <w:sz w:val="22"/>
          <w:szCs w:val="22"/>
        </w:rPr>
        <w:t>constituyen</w:t>
      </w:r>
      <w:r w:rsidR="00DD2D8C">
        <w:rPr>
          <w:sz w:val="22"/>
          <w:szCs w:val="22"/>
        </w:rPr>
        <w:t xml:space="preserve"> </w:t>
      </w:r>
      <w:r w:rsidRPr="00DD2D8C">
        <w:rPr>
          <w:sz w:val="22"/>
          <w:szCs w:val="22"/>
        </w:rPr>
        <w:t>dos</w:t>
      </w:r>
      <w:r w:rsidR="00DD2D8C">
        <w:rPr>
          <w:sz w:val="22"/>
          <w:szCs w:val="22"/>
        </w:rPr>
        <w:t xml:space="preserve"> </w:t>
      </w:r>
      <w:r w:rsidRPr="00DD2D8C">
        <w:rPr>
          <w:sz w:val="22"/>
          <w:szCs w:val="22"/>
        </w:rPr>
        <w:t>ejemplos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escándalos</w:t>
      </w:r>
      <w:r w:rsidR="00DD2D8C">
        <w:rPr>
          <w:sz w:val="22"/>
          <w:szCs w:val="22"/>
        </w:rPr>
        <w:t xml:space="preserve"> </w:t>
      </w:r>
      <w:r w:rsidRPr="00DD2D8C">
        <w:rPr>
          <w:sz w:val="22"/>
          <w:szCs w:val="22"/>
        </w:rPr>
        <w:t>regulatorios</w:t>
      </w:r>
      <w:r w:rsidR="00DD2D8C">
        <w:rPr>
          <w:sz w:val="22"/>
          <w:szCs w:val="22"/>
        </w:rPr>
        <w:t xml:space="preserve"> </w:t>
      </w:r>
      <w:r w:rsidRPr="00DD2D8C">
        <w:rPr>
          <w:sz w:val="22"/>
          <w:szCs w:val="22"/>
        </w:rPr>
        <w:t>en</w:t>
      </w:r>
      <w:r w:rsidR="00DD2D8C">
        <w:rPr>
          <w:sz w:val="22"/>
          <w:szCs w:val="22"/>
        </w:rPr>
        <w:t xml:space="preserve"> </w:t>
      </w:r>
      <w:r w:rsidRPr="00DD2D8C">
        <w:rPr>
          <w:sz w:val="22"/>
          <w:szCs w:val="22"/>
        </w:rPr>
        <w:t>organizaciones</w:t>
      </w:r>
      <w:r w:rsidR="00DD2D8C">
        <w:rPr>
          <w:sz w:val="22"/>
          <w:szCs w:val="22"/>
        </w:rPr>
        <w:t xml:space="preserve"> </w:t>
      </w:r>
      <w:r w:rsidRPr="00DD2D8C">
        <w:rPr>
          <w:sz w:val="22"/>
          <w:szCs w:val="22"/>
        </w:rPr>
        <w:t>tecnológicas</w:t>
      </w:r>
      <w:r w:rsidR="00DD2D8C">
        <w:rPr>
          <w:sz w:val="22"/>
          <w:szCs w:val="22"/>
        </w:rPr>
        <w:t xml:space="preserve"> </w:t>
      </w:r>
      <w:r w:rsidRPr="00DD2D8C">
        <w:rPr>
          <w:sz w:val="22"/>
          <w:szCs w:val="22"/>
        </w:rPr>
        <w:t>altamente</w:t>
      </w:r>
      <w:r w:rsidR="00DD2D8C">
        <w:rPr>
          <w:sz w:val="22"/>
          <w:szCs w:val="22"/>
        </w:rPr>
        <w:t xml:space="preserve"> </w:t>
      </w:r>
      <w:r w:rsidRPr="00DD2D8C">
        <w:rPr>
          <w:sz w:val="22"/>
          <w:szCs w:val="22"/>
        </w:rPr>
        <w:t>complejas,</w:t>
      </w:r>
      <w:r w:rsidR="00DD2D8C">
        <w:rPr>
          <w:sz w:val="22"/>
          <w:szCs w:val="22"/>
        </w:rPr>
        <w:t xml:space="preserve"> </w:t>
      </w:r>
      <w:r w:rsidRPr="00DD2D8C">
        <w:rPr>
          <w:sz w:val="22"/>
          <w:szCs w:val="22"/>
        </w:rPr>
        <w:t>en</w:t>
      </w:r>
      <w:r w:rsidR="00DD2D8C">
        <w:rPr>
          <w:sz w:val="22"/>
          <w:szCs w:val="22"/>
        </w:rPr>
        <w:t xml:space="preserve"> </w:t>
      </w:r>
      <w:r w:rsidRPr="00DD2D8C">
        <w:rPr>
          <w:sz w:val="22"/>
          <w:szCs w:val="22"/>
        </w:rPr>
        <w:t>los</w:t>
      </w:r>
      <w:r w:rsidR="00DD2D8C">
        <w:rPr>
          <w:sz w:val="22"/>
          <w:szCs w:val="22"/>
        </w:rPr>
        <w:t xml:space="preserve"> </w:t>
      </w:r>
      <w:r w:rsidRPr="00DD2D8C">
        <w:rPr>
          <w:sz w:val="22"/>
          <w:szCs w:val="22"/>
        </w:rPr>
        <w:t>cuales</w:t>
      </w:r>
      <w:r w:rsidR="00DD2D8C">
        <w:rPr>
          <w:sz w:val="22"/>
          <w:szCs w:val="22"/>
        </w:rPr>
        <w:t xml:space="preserve"> </w:t>
      </w:r>
      <w:r w:rsidRPr="00DD2D8C">
        <w:rPr>
          <w:sz w:val="22"/>
          <w:szCs w:val="22"/>
        </w:rPr>
        <w:t>la</w:t>
      </w:r>
      <w:r w:rsidR="00DD2D8C">
        <w:rPr>
          <w:sz w:val="22"/>
          <w:szCs w:val="22"/>
        </w:rPr>
        <w:t xml:space="preserve"> </w:t>
      </w:r>
      <w:r w:rsidRPr="00DD2D8C">
        <w:rPr>
          <w:sz w:val="22"/>
          <w:szCs w:val="22"/>
        </w:rPr>
        <w:t>innovación</w:t>
      </w:r>
      <w:r w:rsidR="00DD2D8C">
        <w:rPr>
          <w:sz w:val="22"/>
          <w:szCs w:val="22"/>
        </w:rPr>
        <w:t xml:space="preserve"> </w:t>
      </w:r>
      <w:r w:rsidRPr="00DD2D8C">
        <w:rPr>
          <w:sz w:val="22"/>
          <w:szCs w:val="22"/>
        </w:rPr>
        <w:t>empresarial</w:t>
      </w:r>
      <w:r w:rsidR="00DD2D8C">
        <w:rPr>
          <w:sz w:val="22"/>
          <w:szCs w:val="22"/>
        </w:rPr>
        <w:t xml:space="preserve"> </w:t>
      </w:r>
      <w:r w:rsidRPr="00DD2D8C">
        <w:rPr>
          <w:sz w:val="22"/>
          <w:szCs w:val="22"/>
        </w:rPr>
        <w:t>se</w:t>
      </w:r>
      <w:r w:rsidR="00DD2D8C">
        <w:rPr>
          <w:sz w:val="22"/>
          <w:szCs w:val="22"/>
        </w:rPr>
        <w:t xml:space="preserve"> </w:t>
      </w:r>
      <w:r w:rsidRPr="00DD2D8C">
        <w:rPr>
          <w:sz w:val="22"/>
          <w:szCs w:val="22"/>
        </w:rPr>
        <w:t>desarrolló</w:t>
      </w:r>
      <w:r w:rsidR="00DD2D8C">
        <w:rPr>
          <w:sz w:val="22"/>
          <w:szCs w:val="22"/>
        </w:rPr>
        <w:t xml:space="preserve"> </w:t>
      </w:r>
      <w:r w:rsidRPr="00DD2D8C">
        <w:rPr>
          <w:sz w:val="22"/>
          <w:szCs w:val="22"/>
        </w:rPr>
        <w:t>en</w:t>
      </w:r>
      <w:r w:rsidR="00DD2D8C">
        <w:rPr>
          <w:sz w:val="22"/>
          <w:szCs w:val="22"/>
        </w:rPr>
        <w:t xml:space="preserve"> </w:t>
      </w:r>
      <w:r w:rsidRPr="00DD2D8C">
        <w:rPr>
          <w:sz w:val="22"/>
          <w:szCs w:val="22"/>
        </w:rPr>
        <w:t>tensión</w:t>
      </w:r>
      <w:r w:rsidR="00DD2D8C">
        <w:rPr>
          <w:sz w:val="22"/>
          <w:szCs w:val="22"/>
        </w:rPr>
        <w:t xml:space="preserve"> </w:t>
      </w:r>
      <w:r w:rsidRPr="00DD2D8C">
        <w:rPr>
          <w:sz w:val="22"/>
          <w:szCs w:val="22"/>
        </w:rPr>
        <w:t>con</w:t>
      </w:r>
      <w:r w:rsidR="00DD2D8C">
        <w:rPr>
          <w:sz w:val="22"/>
          <w:szCs w:val="22"/>
        </w:rPr>
        <w:t xml:space="preserve"> </w:t>
      </w:r>
      <w:r w:rsidRPr="00DD2D8C">
        <w:rPr>
          <w:sz w:val="22"/>
          <w:szCs w:val="22"/>
        </w:rPr>
        <w:t>los</w:t>
      </w:r>
      <w:r w:rsidR="00DD2D8C">
        <w:rPr>
          <w:sz w:val="22"/>
          <w:szCs w:val="22"/>
        </w:rPr>
        <w:t xml:space="preserve"> </w:t>
      </w:r>
      <w:r w:rsidRPr="00DD2D8C">
        <w:rPr>
          <w:sz w:val="22"/>
          <w:szCs w:val="22"/>
        </w:rPr>
        <w:t>marcos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control</w:t>
      </w:r>
      <w:r w:rsidR="00DD2D8C">
        <w:rPr>
          <w:sz w:val="22"/>
          <w:szCs w:val="22"/>
        </w:rPr>
        <w:t xml:space="preserve"> </w:t>
      </w:r>
      <w:r w:rsidRPr="00DD2D8C">
        <w:rPr>
          <w:sz w:val="22"/>
          <w:szCs w:val="22"/>
        </w:rPr>
        <w:t>institucional</w:t>
      </w:r>
      <w:r w:rsidR="00DD2D8C">
        <w:rPr>
          <w:sz w:val="22"/>
          <w:szCs w:val="22"/>
        </w:rPr>
        <w:t xml:space="preserve"> </w:t>
      </w:r>
      <w:r w:rsidRPr="00DD2D8C">
        <w:rPr>
          <w:sz w:val="22"/>
          <w:szCs w:val="22"/>
        </w:rPr>
        <w:t>y</w:t>
      </w:r>
      <w:r w:rsidR="00DD2D8C">
        <w:rPr>
          <w:sz w:val="22"/>
          <w:szCs w:val="22"/>
        </w:rPr>
        <w:t xml:space="preserve"> </w:t>
      </w:r>
      <w:r w:rsidRPr="00DD2D8C">
        <w:rPr>
          <w:sz w:val="22"/>
          <w:szCs w:val="22"/>
        </w:rPr>
        <w:t>ético.</w:t>
      </w:r>
      <w:r w:rsidR="00DD2D8C">
        <w:rPr>
          <w:sz w:val="22"/>
          <w:szCs w:val="22"/>
        </w:rPr>
        <w:t xml:space="preserve"> </w:t>
      </w:r>
      <w:r w:rsidRPr="00DD2D8C">
        <w:rPr>
          <w:sz w:val="22"/>
          <w:szCs w:val="22"/>
        </w:rPr>
        <w:t>Ambos</w:t>
      </w:r>
      <w:r w:rsidR="00DD2D8C">
        <w:rPr>
          <w:sz w:val="22"/>
          <w:szCs w:val="22"/>
        </w:rPr>
        <w:t xml:space="preserve"> </w:t>
      </w:r>
      <w:r w:rsidRPr="00DD2D8C">
        <w:rPr>
          <w:sz w:val="22"/>
          <w:szCs w:val="22"/>
        </w:rPr>
        <w:t>episodios</w:t>
      </w:r>
      <w:r w:rsidR="00DD2D8C">
        <w:rPr>
          <w:sz w:val="22"/>
          <w:szCs w:val="22"/>
        </w:rPr>
        <w:t xml:space="preserve"> </w:t>
      </w:r>
      <w:r w:rsidRPr="00DD2D8C">
        <w:rPr>
          <w:sz w:val="22"/>
          <w:szCs w:val="22"/>
        </w:rPr>
        <w:t>evidencian</w:t>
      </w:r>
      <w:r w:rsidR="00DD2D8C">
        <w:rPr>
          <w:sz w:val="22"/>
          <w:szCs w:val="22"/>
        </w:rPr>
        <w:t xml:space="preserve"> </w:t>
      </w:r>
      <w:r w:rsidRPr="00DD2D8C">
        <w:rPr>
          <w:sz w:val="22"/>
          <w:szCs w:val="22"/>
        </w:rPr>
        <w:t>cómo,</w:t>
      </w:r>
      <w:r w:rsidR="00DD2D8C">
        <w:rPr>
          <w:sz w:val="22"/>
          <w:szCs w:val="22"/>
        </w:rPr>
        <w:t xml:space="preserve"> </w:t>
      </w:r>
      <w:r w:rsidRPr="00DD2D8C">
        <w:rPr>
          <w:sz w:val="22"/>
          <w:szCs w:val="22"/>
        </w:rPr>
        <w:t>dentro</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contextos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fuerte</w:t>
      </w:r>
      <w:r w:rsidR="00DD2D8C">
        <w:rPr>
          <w:sz w:val="22"/>
          <w:szCs w:val="22"/>
        </w:rPr>
        <w:t xml:space="preserve"> </w:t>
      </w:r>
      <w:r w:rsidRPr="00DD2D8C">
        <w:rPr>
          <w:sz w:val="22"/>
          <w:szCs w:val="22"/>
        </w:rPr>
        <w:t>presión</w:t>
      </w:r>
      <w:r w:rsidR="00DD2D8C">
        <w:rPr>
          <w:sz w:val="22"/>
          <w:szCs w:val="22"/>
        </w:rPr>
        <w:t xml:space="preserve"> </w:t>
      </w:r>
      <w:r w:rsidRPr="00DD2D8C">
        <w:rPr>
          <w:sz w:val="22"/>
          <w:szCs w:val="22"/>
        </w:rPr>
        <w:t>competitiva,</w:t>
      </w:r>
      <w:r w:rsidR="00DD2D8C">
        <w:rPr>
          <w:sz w:val="22"/>
          <w:szCs w:val="22"/>
        </w:rPr>
        <w:t xml:space="preserve"> </w:t>
      </w:r>
      <w:r w:rsidRPr="00DD2D8C">
        <w:rPr>
          <w:sz w:val="22"/>
          <w:szCs w:val="22"/>
        </w:rPr>
        <w:t>expectativas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mercado</w:t>
      </w:r>
      <w:r w:rsidR="00DD2D8C">
        <w:rPr>
          <w:sz w:val="22"/>
          <w:szCs w:val="22"/>
        </w:rPr>
        <w:t xml:space="preserve"> </w:t>
      </w:r>
      <w:r w:rsidRPr="00DD2D8C">
        <w:rPr>
          <w:sz w:val="22"/>
          <w:szCs w:val="22"/>
        </w:rPr>
        <w:t>y</w:t>
      </w:r>
      <w:r w:rsidR="00DD2D8C">
        <w:rPr>
          <w:sz w:val="22"/>
          <w:szCs w:val="22"/>
        </w:rPr>
        <w:t xml:space="preserve"> </w:t>
      </w:r>
      <w:r w:rsidRPr="00DD2D8C">
        <w:rPr>
          <w:sz w:val="22"/>
          <w:szCs w:val="22"/>
        </w:rPr>
        <w:t>narrativas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progreso</w:t>
      </w:r>
      <w:r w:rsidR="00DD2D8C">
        <w:rPr>
          <w:sz w:val="22"/>
          <w:szCs w:val="22"/>
        </w:rPr>
        <w:t xml:space="preserve"> </w:t>
      </w:r>
      <w:r w:rsidRPr="00DD2D8C">
        <w:rPr>
          <w:sz w:val="22"/>
          <w:szCs w:val="22"/>
        </w:rPr>
        <w:t>tecnológico,</w:t>
      </w:r>
      <w:r w:rsidR="00DD2D8C">
        <w:rPr>
          <w:sz w:val="22"/>
          <w:szCs w:val="22"/>
        </w:rPr>
        <w:t xml:space="preserve"> </w:t>
      </w:r>
      <w:r w:rsidRPr="00DD2D8C">
        <w:rPr>
          <w:sz w:val="22"/>
          <w:szCs w:val="22"/>
        </w:rPr>
        <w:t>pueden</w:t>
      </w:r>
      <w:r w:rsidR="00DD2D8C">
        <w:rPr>
          <w:sz w:val="22"/>
          <w:szCs w:val="22"/>
        </w:rPr>
        <w:t xml:space="preserve"> </w:t>
      </w:r>
      <w:r w:rsidRPr="00DD2D8C">
        <w:rPr>
          <w:sz w:val="22"/>
          <w:szCs w:val="22"/>
        </w:rPr>
        <w:t>consolidarse</w:t>
      </w:r>
      <w:r w:rsidR="00DD2D8C">
        <w:rPr>
          <w:sz w:val="22"/>
          <w:szCs w:val="22"/>
        </w:rPr>
        <w:t xml:space="preserve"> </w:t>
      </w:r>
      <w:r w:rsidRPr="00DD2D8C">
        <w:rPr>
          <w:sz w:val="22"/>
          <w:szCs w:val="22"/>
        </w:rPr>
        <w:t>dinámicas</w:t>
      </w:r>
      <w:r w:rsidR="00DD2D8C">
        <w:rPr>
          <w:sz w:val="22"/>
          <w:szCs w:val="22"/>
        </w:rPr>
        <w:t xml:space="preserve"> </w:t>
      </w:r>
      <w:r w:rsidRPr="00DD2D8C">
        <w:rPr>
          <w:sz w:val="22"/>
          <w:szCs w:val="22"/>
        </w:rPr>
        <w:t>organizacionales</w:t>
      </w:r>
      <w:r w:rsidR="00DD2D8C">
        <w:rPr>
          <w:sz w:val="22"/>
          <w:szCs w:val="22"/>
        </w:rPr>
        <w:t xml:space="preserve"> </w:t>
      </w:r>
      <w:r w:rsidRPr="00DD2D8C">
        <w:rPr>
          <w:sz w:val="22"/>
          <w:szCs w:val="22"/>
        </w:rPr>
        <w:t>que</w:t>
      </w:r>
      <w:r w:rsidR="00DD2D8C">
        <w:rPr>
          <w:sz w:val="22"/>
          <w:szCs w:val="22"/>
        </w:rPr>
        <w:t xml:space="preserve"> </w:t>
      </w:r>
      <w:r w:rsidRPr="00DD2D8C">
        <w:rPr>
          <w:sz w:val="22"/>
          <w:szCs w:val="22"/>
        </w:rPr>
        <w:t>normalizan</w:t>
      </w:r>
      <w:r w:rsidR="00DD2D8C">
        <w:rPr>
          <w:sz w:val="22"/>
          <w:szCs w:val="22"/>
        </w:rPr>
        <w:t xml:space="preserve"> </w:t>
      </w:r>
      <w:r w:rsidRPr="00DD2D8C">
        <w:rPr>
          <w:sz w:val="22"/>
          <w:szCs w:val="22"/>
        </w:rPr>
        <w:t>prácticas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ocultamiento,</w:t>
      </w:r>
      <w:r w:rsidR="00DD2D8C">
        <w:rPr>
          <w:sz w:val="22"/>
          <w:szCs w:val="22"/>
        </w:rPr>
        <w:t xml:space="preserve"> </w:t>
      </w:r>
      <w:r w:rsidRPr="00DD2D8C">
        <w:rPr>
          <w:sz w:val="22"/>
          <w:szCs w:val="22"/>
        </w:rPr>
        <w:t>manipulación</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información</w:t>
      </w:r>
      <w:r w:rsidR="00DD2D8C">
        <w:rPr>
          <w:sz w:val="22"/>
          <w:szCs w:val="22"/>
        </w:rPr>
        <w:t xml:space="preserve"> </w:t>
      </w:r>
      <w:r w:rsidRPr="00DD2D8C">
        <w:rPr>
          <w:sz w:val="22"/>
          <w:szCs w:val="22"/>
        </w:rPr>
        <w:t>y</w:t>
      </w:r>
      <w:r w:rsidR="00DD2D8C">
        <w:rPr>
          <w:sz w:val="22"/>
          <w:szCs w:val="22"/>
        </w:rPr>
        <w:t xml:space="preserve"> </w:t>
      </w:r>
      <w:r w:rsidRPr="00DD2D8C">
        <w:rPr>
          <w:sz w:val="22"/>
          <w:szCs w:val="22"/>
        </w:rPr>
        <w:t>debilitamiento</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los</w:t>
      </w:r>
      <w:r w:rsidR="00DD2D8C">
        <w:rPr>
          <w:sz w:val="22"/>
          <w:szCs w:val="22"/>
        </w:rPr>
        <w:t xml:space="preserve"> </w:t>
      </w:r>
      <w:r w:rsidRPr="00DD2D8C">
        <w:rPr>
          <w:sz w:val="22"/>
          <w:szCs w:val="22"/>
        </w:rPr>
        <w:t>mecanismos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supervisión.</w:t>
      </w:r>
      <w:r w:rsidR="00DD2D8C">
        <w:rPr>
          <w:sz w:val="22"/>
          <w:szCs w:val="22"/>
        </w:rPr>
        <w:t xml:space="preserve"> </w:t>
      </w:r>
      <w:r w:rsidRPr="00DD2D8C">
        <w:rPr>
          <w:sz w:val="22"/>
          <w:szCs w:val="22"/>
        </w:rPr>
        <w:t>Desde</w:t>
      </w:r>
      <w:r w:rsidR="00DD2D8C">
        <w:rPr>
          <w:sz w:val="22"/>
          <w:szCs w:val="22"/>
        </w:rPr>
        <w:t xml:space="preserve"> </w:t>
      </w:r>
      <w:r w:rsidRPr="00DD2D8C">
        <w:rPr>
          <w:sz w:val="22"/>
          <w:szCs w:val="22"/>
        </w:rPr>
        <w:t>la</w:t>
      </w:r>
      <w:r w:rsidR="00DD2D8C">
        <w:rPr>
          <w:sz w:val="22"/>
          <w:szCs w:val="22"/>
        </w:rPr>
        <w:t xml:space="preserve"> </w:t>
      </w:r>
      <w:r w:rsidRPr="00DD2D8C">
        <w:rPr>
          <w:sz w:val="22"/>
          <w:szCs w:val="22"/>
        </w:rPr>
        <w:t>perspectiva</w:t>
      </w:r>
      <w:r w:rsidR="00DD2D8C">
        <w:rPr>
          <w:sz w:val="22"/>
          <w:szCs w:val="22"/>
        </w:rPr>
        <w:t xml:space="preserve"> </w:t>
      </w:r>
      <w:r w:rsidRPr="00DD2D8C">
        <w:rPr>
          <w:sz w:val="22"/>
          <w:szCs w:val="22"/>
        </w:rPr>
        <w:t>del</w:t>
      </w:r>
      <w:r w:rsidR="00DD2D8C">
        <w:rPr>
          <w:sz w:val="22"/>
          <w:szCs w:val="22"/>
        </w:rPr>
        <w:t xml:space="preserve"> </w:t>
      </w:r>
      <w:r w:rsidRPr="00DD2D8C">
        <w:rPr>
          <w:sz w:val="22"/>
          <w:szCs w:val="22"/>
        </w:rPr>
        <w:t>análisis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riesgos</w:t>
      </w:r>
      <w:r w:rsidR="00DD2D8C">
        <w:rPr>
          <w:sz w:val="22"/>
          <w:szCs w:val="22"/>
        </w:rPr>
        <w:t xml:space="preserve"> </w:t>
      </w:r>
      <w:r w:rsidRPr="00DD2D8C">
        <w:rPr>
          <w:sz w:val="22"/>
          <w:szCs w:val="22"/>
        </w:rPr>
        <w:t>organizacionales,</w:t>
      </w:r>
      <w:r w:rsidR="00DD2D8C">
        <w:rPr>
          <w:sz w:val="22"/>
          <w:szCs w:val="22"/>
        </w:rPr>
        <w:t xml:space="preserve"> </w:t>
      </w:r>
      <w:r w:rsidRPr="00DD2D8C">
        <w:rPr>
          <w:sz w:val="22"/>
          <w:szCs w:val="22"/>
        </w:rPr>
        <w:t>estos</w:t>
      </w:r>
      <w:r w:rsidR="00DD2D8C">
        <w:rPr>
          <w:sz w:val="22"/>
          <w:szCs w:val="22"/>
        </w:rPr>
        <w:t xml:space="preserve"> </w:t>
      </w:r>
      <w:r w:rsidRPr="00DD2D8C">
        <w:rPr>
          <w:sz w:val="22"/>
          <w:szCs w:val="22"/>
        </w:rPr>
        <w:t>casos</w:t>
      </w:r>
      <w:r w:rsidR="00DD2D8C">
        <w:rPr>
          <w:sz w:val="22"/>
          <w:szCs w:val="22"/>
        </w:rPr>
        <w:t xml:space="preserve"> </w:t>
      </w:r>
      <w:r w:rsidRPr="00DD2D8C">
        <w:rPr>
          <w:sz w:val="22"/>
          <w:szCs w:val="22"/>
        </w:rPr>
        <w:t>permiten</w:t>
      </w:r>
      <w:r w:rsidR="00DD2D8C">
        <w:rPr>
          <w:sz w:val="22"/>
          <w:szCs w:val="22"/>
        </w:rPr>
        <w:t xml:space="preserve"> </w:t>
      </w:r>
      <w:r w:rsidRPr="00DD2D8C">
        <w:rPr>
          <w:sz w:val="22"/>
          <w:szCs w:val="22"/>
        </w:rPr>
        <w:t>examinar</w:t>
      </w:r>
      <w:r w:rsidR="00DD2D8C">
        <w:rPr>
          <w:sz w:val="22"/>
          <w:szCs w:val="22"/>
        </w:rPr>
        <w:t xml:space="preserve"> </w:t>
      </w:r>
      <w:r w:rsidRPr="00DD2D8C">
        <w:rPr>
          <w:sz w:val="22"/>
          <w:szCs w:val="22"/>
        </w:rPr>
        <w:t>la</w:t>
      </w:r>
      <w:r w:rsidR="00DD2D8C">
        <w:rPr>
          <w:sz w:val="22"/>
          <w:szCs w:val="22"/>
        </w:rPr>
        <w:t xml:space="preserve"> </w:t>
      </w:r>
      <w:r w:rsidRPr="00DD2D8C">
        <w:rPr>
          <w:sz w:val="22"/>
          <w:szCs w:val="22"/>
        </w:rPr>
        <w:t>acumulación</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fallas</w:t>
      </w:r>
      <w:r w:rsidR="00DD2D8C">
        <w:rPr>
          <w:sz w:val="22"/>
          <w:szCs w:val="22"/>
        </w:rPr>
        <w:t xml:space="preserve"> </w:t>
      </w:r>
      <w:r w:rsidRPr="00DD2D8C">
        <w:rPr>
          <w:sz w:val="22"/>
          <w:szCs w:val="22"/>
        </w:rPr>
        <w:t>latentes,</w:t>
      </w:r>
      <w:r w:rsidR="00DD2D8C">
        <w:rPr>
          <w:sz w:val="22"/>
          <w:szCs w:val="22"/>
        </w:rPr>
        <w:t xml:space="preserve"> </w:t>
      </w:r>
      <w:r w:rsidRPr="00DD2D8C">
        <w:rPr>
          <w:sz w:val="22"/>
          <w:szCs w:val="22"/>
        </w:rPr>
        <w:t>la</w:t>
      </w:r>
      <w:r w:rsidR="00DD2D8C">
        <w:rPr>
          <w:sz w:val="22"/>
          <w:szCs w:val="22"/>
        </w:rPr>
        <w:t xml:space="preserve"> </w:t>
      </w:r>
      <w:r w:rsidRPr="00DD2D8C">
        <w:rPr>
          <w:sz w:val="22"/>
          <w:szCs w:val="22"/>
        </w:rPr>
        <w:t>desactivación</w:t>
      </w:r>
      <w:r w:rsidR="00DD2D8C">
        <w:rPr>
          <w:sz w:val="22"/>
          <w:szCs w:val="22"/>
        </w:rPr>
        <w:t xml:space="preserve"> </w:t>
      </w:r>
      <w:r w:rsidRPr="00DD2D8C">
        <w:rPr>
          <w:sz w:val="22"/>
          <w:szCs w:val="22"/>
        </w:rPr>
        <w:t>progresiva</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señales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alerta</w:t>
      </w:r>
      <w:r w:rsidR="00DD2D8C">
        <w:rPr>
          <w:sz w:val="22"/>
          <w:szCs w:val="22"/>
        </w:rPr>
        <w:t xml:space="preserve"> </w:t>
      </w:r>
      <w:r w:rsidRPr="00DD2D8C">
        <w:rPr>
          <w:sz w:val="22"/>
          <w:szCs w:val="22"/>
        </w:rPr>
        <w:t>y</w:t>
      </w:r>
      <w:r w:rsidR="00DD2D8C">
        <w:rPr>
          <w:sz w:val="22"/>
          <w:szCs w:val="22"/>
        </w:rPr>
        <w:t xml:space="preserve"> </w:t>
      </w:r>
      <w:r w:rsidRPr="00DD2D8C">
        <w:rPr>
          <w:sz w:val="22"/>
          <w:szCs w:val="22"/>
        </w:rPr>
        <w:t>la</w:t>
      </w:r>
      <w:r w:rsidR="00DD2D8C">
        <w:rPr>
          <w:sz w:val="22"/>
          <w:szCs w:val="22"/>
        </w:rPr>
        <w:t xml:space="preserve"> </w:t>
      </w:r>
      <w:r w:rsidRPr="00DD2D8C">
        <w:rPr>
          <w:sz w:val="22"/>
          <w:szCs w:val="22"/>
        </w:rPr>
        <w:t>interacción</w:t>
      </w:r>
      <w:r w:rsidR="00DD2D8C">
        <w:rPr>
          <w:sz w:val="22"/>
          <w:szCs w:val="22"/>
        </w:rPr>
        <w:t xml:space="preserve"> </w:t>
      </w:r>
      <w:r w:rsidRPr="00DD2D8C">
        <w:rPr>
          <w:sz w:val="22"/>
          <w:szCs w:val="22"/>
        </w:rPr>
        <w:t>problemática</w:t>
      </w:r>
      <w:r w:rsidR="00DD2D8C">
        <w:rPr>
          <w:sz w:val="22"/>
          <w:szCs w:val="22"/>
        </w:rPr>
        <w:t xml:space="preserve"> </w:t>
      </w:r>
      <w:r w:rsidRPr="00DD2D8C">
        <w:rPr>
          <w:sz w:val="22"/>
          <w:szCs w:val="22"/>
        </w:rPr>
        <w:t>entre</w:t>
      </w:r>
      <w:r w:rsidR="00DD2D8C">
        <w:rPr>
          <w:sz w:val="22"/>
          <w:szCs w:val="22"/>
        </w:rPr>
        <w:t xml:space="preserve"> </w:t>
      </w:r>
      <w:r w:rsidRPr="00DD2D8C">
        <w:rPr>
          <w:sz w:val="22"/>
          <w:szCs w:val="22"/>
        </w:rPr>
        <w:t>empresas</w:t>
      </w:r>
      <w:r w:rsidR="00DD2D8C">
        <w:rPr>
          <w:sz w:val="22"/>
          <w:szCs w:val="22"/>
        </w:rPr>
        <w:t xml:space="preserve"> </w:t>
      </w:r>
      <w:r w:rsidRPr="00DD2D8C">
        <w:rPr>
          <w:sz w:val="22"/>
          <w:szCs w:val="22"/>
        </w:rPr>
        <w:t>innovadoras</w:t>
      </w:r>
      <w:r w:rsidR="00DD2D8C">
        <w:rPr>
          <w:sz w:val="22"/>
          <w:szCs w:val="22"/>
        </w:rPr>
        <w:t xml:space="preserve"> </w:t>
      </w:r>
      <w:r w:rsidRPr="00DD2D8C">
        <w:rPr>
          <w:sz w:val="22"/>
          <w:szCs w:val="22"/>
        </w:rPr>
        <w:t>y</w:t>
      </w:r>
      <w:r w:rsidR="00DD2D8C">
        <w:rPr>
          <w:sz w:val="22"/>
          <w:szCs w:val="22"/>
        </w:rPr>
        <w:t xml:space="preserve"> </w:t>
      </w:r>
      <w:r w:rsidRPr="00DD2D8C">
        <w:rPr>
          <w:sz w:val="22"/>
          <w:szCs w:val="22"/>
        </w:rPr>
        <w:t>organismos</w:t>
      </w:r>
      <w:r w:rsidR="00DD2D8C">
        <w:rPr>
          <w:sz w:val="22"/>
          <w:szCs w:val="22"/>
        </w:rPr>
        <w:t xml:space="preserve"> </w:t>
      </w:r>
      <w:r w:rsidRPr="00DD2D8C">
        <w:rPr>
          <w:sz w:val="22"/>
          <w:szCs w:val="22"/>
        </w:rPr>
        <w:t>reguladores,</w:t>
      </w:r>
      <w:r w:rsidR="00DD2D8C">
        <w:rPr>
          <w:sz w:val="22"/>
          <w:szCs w:val="22"/>
        </w:rPr>
        <w:t xml:space="preserve"> </w:t>
      </w:r>
      <w:r w:rsidRPr="00DD2D8C">
        <w:rPr>
          <w:sz w:val="22"/>
          <w:szCs w:val="22"/>
        </w:rPr>
        <w:t>configurando</w:t>
      </w:r>
      <w:r w:rsidR="00DD2D8C">
        <w:rPr>
          <w:sz w:val="22"/>
          <w:szCs w:val="22"/>
        </w:rPr>
        <w:t xml:space="preserve"> </w:t>
      </w:r>
      <w:r w:rsidRPr="00DD2D8C">
        <w:rPr>
          <w:sz w:val="22"/>
          <w:szCs w:val="22"/>
        </w:rPr>
        <w:t>entornos</w:t>
      </w:r>
      <w:r w:rsidR="00DD2D8C">
        <w:rPr>
          <w:sz w:val="22"/>
          <w:szCs w:val="22"/>
        </w:rPr>
        <w:t xml:space="preserve"> </w:t>
      </w:r>
      <w:r w:rsidRPr="00DD2D8C">
        <w:rPr>
          <w:sz w:val="22"/>
          <w:szCs w:val="22"/>
        </w:rPr>
        <w:t>donde</w:t>
      </w:r>
      <w:r w:rsidR="00DD2D8C">
        <w:rPr>
          <w:sz w:val="22"/>
          <w:szCs w:val="22"/>
        </w:rPr>
        <w:t xml:space="preserve"> </w:t>
      </w:r>
      <w:r w:rsidRPr="00DD2D8C">
        <w:rPr>
          <w:sz w:val="22"/>
          <w:szCs w:val="22"/>
        </w:rPr>
        <w:t>el</w:t>
      </w:r>
      <w:r w:rsidR="00DD2D8C">
        <w:rPr>
          <w:sz w:val="22"/>
          <w:szCs w:val="22"/>
        </w:rPr>
        <w:t xml:space="preserve"> </w:t>
      </w:r>
      <w:r w:rsidRPr="00DD2D8C">
        <w:rPr>
          <w:sz w:val="22"/>
          <w:szCs w:val="22"/>
        </w:rPr>
        <w:t>riesgo</w:t>
      </w:r>
      <w:r w:rsidR="00DD2D8C">
        <w:rPr>
          <w:sz w:val="22"/>
          <w:szCs w:val="22"/>
        </w:rPr>
        <w:t xml:space="preserve"> </w:t>
      </w:r>
      <w:r w:rsidRPr="00DD2D8C">
        <w:rPr>
          <w:sz w:val="22"/>
          <w:szCs w:val="22"/>
        </w:rPr>
        <w:t>sistémico</w:t>
      </w:r>
      <w:r w:rsidR="00DD2D8C">
        <w:rPr>
          <w:sz w:val="22"/>
          <w:szCs w:val="22"/>
        </w:rPr>
        <w:t xml:space="preserve"> </w:t>
      </w:r>
      <w:r w:rsidRPr="00DD2D8C">
        <w:rPr>
          <w:sz w:val="22"/>
          <w:szCs w:val="22"/>
        </w:rPr>
        <w:t>se</w:t>
      </w:r>
      <w:r w:rsidR="00DD2D8C">
        <w:rPr>
          <w:sz w:val="22"/>
          <w:szCs w:val="22"/>
        </w:rPr>
        <w:t xml:space="preserve"> </w:t>
      </w:r>
      <w:r w:rsidRPr="00DD2D8C">
        <w:rPr>
          <w:sz w:val="22"/>
          <w:szCs w:val="22"/>
        </w:rPr>
        <w:t>invisibiliza</w:t>
      </w:r>
      <w:r w:rsidR="00DD2D8C">
        <w:rPr>
          <w:sz w:val="22"/>
          <w:szCs w:val="22"/>
        </w:rPr>
        <w:t xml:space="preserve"> </w:t>
      </w:r>
      <w:r w:rsidRPr="00DD2D8C">
        <w:rPr>
          <w:sz w:val="22"/>
          <w:szCs w:val="22"/>
        </w:rPr>
        <w:t>hasta</w:t>
      </w:r>
      <w:r w:rsidR="00DD2D8C">
        <w:rPr>
          <w:sz w:val="22"/>
          <w:szCs w:val="22"/>
        </w:rPr>
        <w:t xml:space="preserve"> </w:t>
      </w:r>
      <w:r w:rsidRPr="00DD2D8C">
        <w:rPr>
          <w:sz w:val="22"/>
          <w:szCs w:val="22"/>
        </w:rPr>
        <w:t>que</w:t>
      </w:r>
      <w:r w:rsidR="00DD2D8C">
        <w:rPr>
          <w:sz w:val="22"/>
          <w:szCs w:val="22"/>
        </w:rPr>
        <w:t xml:space="preserve"> </w:t>
      </w:r>
      <w:r w:rsidRPr="00DD2D8C">
        <w:rPr>
          <w:sz w:val="22"/>
          <w:szCs w:val="22"/>
        </w:rPr>
        <w:t>se</w:t>
      </w:r>
      <w:r w:rsidR="00DD2D8C">
        <w:rPr>
          <w:sz w:val="22"/>
          <w:szCs w:val="22"/>
        </w:rPr>
        <w:t xml:space="preserve"> </w:t>
      </w:r>
      <w:r w:rsidRPr="00DD2D8C">
        <w:rPr>
          <w:sz w:val="22"/>
          <w:szCs w:val="22"/>
        </w:rPr>
        <w:t>materializa</w:t>
      </w:r>
      <w:r w:rsidR="00DD2D8C">
        <w:rPr>
          <w:sz w:val="22"/>
          <w:szCs w:val="22"/>
        </w:rPr>
        <w:t xml:space="preserve"> </w:t>
      </w:r>
      <w:r w:rsidRPr="00DD2D8C">
        <w:rPr>
          <w:sz w:val="22"/>
          <w:szCs w:val="22"/>
        </w:rPr>
        <w:t>en</w:t>
      </w:r>
      <w:r w:rsidR="00DD2D8C">
        <w:rPr>
          <w:sz w:val="22"/>
          <w:szCs w:val="22"/>
        </w:rPr>
        <w:t xml:space="preserve"> </w:t>
      </w:r>
      <w:r w:rsidRPr="00DD2D8C">
        <w:rPr>
          <w:sz w:val="22"/>
          <w:szCs w:val="22"/>
        </w:rPr>
        <w:t>crisis</w:t>
      </w:r>
      <w:r w:rsidR="00DD2D8C">
        <w:rPr>
          <w:sz w:val="22"/>
          <w:szCs w:val="22"/>
        </w:rPr>
        <w:t xml:space="preserve"> </w:t>
      </w:r>
      <w:r w:rsidRPr="00DD2D8C">
        <w:rPr>
          <w:sz w:val="22"/>
          <w:szCs w:val="22"/>
        </w:rPr>
        <w:t>públicas</w:t>
      </w:r>
      <w:r w:rsidR="00DD2D8C">
        <w:rPr>
          <w:sz w:val="22"/>
          <w:szCs w:val="22"/>
        </w:rPr>
        <w:t xml:space="preserve"> </w:t>
      </w:r>
      <w:r w:rsidRPr="00DD2D8C">
        <w:rPr>
          <w:sz w:val="22"/>
          <w:szCs w:val="22"/>
        </w:rPr>
        <w:t>de</w:t>
      </w:r>
      <w:r w:rsidR="00DD2D8C">
        <w:rPr>
          <w:sz w:val="22"/>
          <w:szCs w:val="22"/>
        </w:rPr>
        <w:t xml:space="preserve"> </w:t>
      </w:r>
      <w:r w:rsidRPr="00DD2D8C">
        <w:rPr>
          <w:sz w:val="22"/>
          <w:szCs w:val="22"/>
        </w:rPr>
        <w:t>gran</w:t>
      </w:r>
      <w:r w:rsidR="00DD2D8C">
        <w:rPr>
          <w:sz w:val="22"/>
          <w:szCs w:val="22"/>
        </w:rPr>
        <w:t xml:space="preserve"> </w:t>
      </w:r>
      <w:r w:rsidRPr="00DD2D8C">
        <w:rPr>
          <w:sz w:val="22"/>
          <w:szCs w:val="22"/>
        </w:rPr>
        <w:t>escala.</w:t>
      </w:r>
    </w:p>
    <w:p w:rsidRPr="008D29CC" w:rsidR="004F4D85" w:rsidP="004F4D85" w:rsidRDefault="004F4D85" w14:paraId="50932CFD" w14:textId="77777777">
      <w:pPr>
        <w:spacing w:after="0" w:line="276" w:lineRule="auto"/>
        <w:jc w:val="both"/>
        <w:rPr>
          <w:sz w:val="22"/>
          <w:szCs w:val="22"/>
        </w:rPr>
      </w:pPr>
    </w:p>
    <w:p w:rsidRPr="00735B53" w:rsidR="00771E33" w:rsidP="0099281B" w:rsidRDefault="27ED167C" w14:paraId="5595457B" w14:textId="104C9B2D">
      <w:pPr>
        <w:pStyle w:val="Ttulo3"/>
        <w:numPr>
          <w:ilvl w:val="2"/>
          <w:numId w:val="6"/>
        </w:numPr>
        <w:spacing w:line="276" w:lineRule="auto"/>
        <w:rPr>
          <w:b/>
          <w:color w:val="auto"/>
          <w:sz w:val="24"/>
          <w:szCs w:val="24"/>
          <w:lang w:val="en-US"/>
        </w:rPr>
      </w:pPr>
      <w:bookmarkStart w:name="_Toc225160617" w:id="22"/>
      <w:proofErr w:type="spellStart"/>
      <w:r w:rsidRPr="00735B53">
        <w:rPr>
          <w:b/>
          <w:color w:val="auto"/>
          <w:sz w:val="24"/>
          <w:szCs w:val="24"/>
          <w:lang w:val="en-US"/>
        </w:rPr>
        <w:t>Dieselgate</w:t>
      </w:r>
      <w:proofErr w:type="spellEnd"/>
      <w:r w:rsidRPr="00735B53">
        <w:rPr>
          <w:b/>
          <w:color w:val="auto"/>
          <w:sz w:val="24"/>
          <w:szCs w:val="24"/>
          <w:lang w:val="en-US"/>
        </w:rPr>
        <w:t xml:space="preserve"> (Volkswagen Emissions Scandal)</w:t>
      </w:r>
      <w:bookmarkEnd w:id="22"/>
      <w:r w:rsidRPr="00735B53" w:rsidR="1E4B7E81">
        <w:rPr>
          <w:b/>
          <w:color w:val="auto"/>
          <w:sz w:val="24"/>
          <w:szCs w:val="24"/>
          <w:lang w:val="en-US"/>
        </w:rPr>
        <w:t xml:space="preserve"> </w:t>
      </w:r>
    </w:p>
    <w:p w:rsidR="004144FC" w:rsidP="0099281B" w:rsidRDefault="004144FC" w14:paraId="216F7A37" w14:textId="77777777">
      <w:pPr>
        <w:spacing w:line="276" w:lineRule="auto"/>
        <w:jc w:val="both"/>
        <w:rPr>
          <w:b/>
          <w:bCs/>
          <w:sz w:val="22"/>
          <w:szCs w:val="22"/>
        </w:rPr>
      </w:pPr>
    </w:p>
    <w:p w:rsidR="008824DC" w:rsidP="0099281B" w:rsidRDefault="01F01860" w14:paraId="3808187F" w14:textId="1FB1093B">
      <w:pPr>
        <w:spacing w:line="276" w:lineRule="auto"/>
        <w:jc w:val="both"/>
        <w:rPr>
          <w:sz w:val="22"/>
          <w:szCs w:val="22"/>
        </w:rPr>
      </w:pPr>
      <w:r w:rsidRPr="73C8AC37">
        <w:rPr>
          <w:sz w:val="22"/>
          <w:szCs w:val="22"/>
        </w:rPr>
        <w:t xml:space="preserve">En 2015, Volkswagen (VW), una de las fuerzas dominantes en la industria automotriz global, fue desenmascarada en un escándalo que puso al descubierto prácticas engañosas en la gestión de emisiones de sus vehículos diésel. Investigaciones realizadas por la Agencia de Protección Ambiental de los </w:t>
      </w:r>
      <w:proofErr w:type="gramStart"/>
      <w:r w:rsidRPr="73C8AC37">
        <w:rPr>
          <w:sz w:val="22"/>
          <w:szCs w:val="22"/>
        </w:rPr>
        <w:t>EE.UU.</w:t>
      </w:r>
      <w:proofErr w:type="gramEnd"/>
      <w:r w:rsidRPr="73C8AC37">
        <w:rPr>
          <w:sz w:val="22"/>
          <w:szCs w:val="22"/>
        </w:rPr>
        <w:t xml:space="preserve"> (EPA, 2015) revelaron que VW había instalado ilegalmente software en alrededor de 11 millones de vehículos en todo el mundo. Este software permitía a los autos cambiar a un modo de funcionamiento que reducía las emisiones durante las pruebas de laboratorio, pero desactivaba estas funciones en condiciones normales de conducción, resultando en emisiones de óxidos de nitrógeno hasta 40 veces superiores a las permitidas por las normativas (Hotten, 2015).</w:t>
      </w:r>
    </w:p>
    <w:p w:rsidR="008824DC" w:rsidP="0099281B" w:rsidRDefault="01F01860" w14:paraId="0DEF2177" w14:textId="292089E7">
      <w:pPr>
        <w:spacing w:line="276" w:lineRule="auto"/>
        <w:jc w:val="both"/>
        <w:rPr>
          <w:sz w:val="22"/>
          <w:szCs w:val="22"/>
        </w:rPr>
      </w:pPr>
      <w:r w:rsidRPr="73C8AC37">
        <w:rPr>
          <w:sz w:val="22"/>
          <w:szCs w:val="22"/>
        </w:rPr>
        <w:lastRenderedPageBreak/>
        <w:t>Volkswagen, con una estructura jerárquica compleja y centralizada, se caracterizaba por un estilo de gestión autoritario, donde las decisiones estratégicas eran tomadas por un pequeño grupo de altos ejecutivos (Ewing, 2015). Esta centralización del poder decisional significó que las decisiones críticas, incluidas aquellas relacionadas con el cumplimiento normativo y la sostenibilidad ambiental, no siempre se sometían a un escrutinio adecuado o a consultas más amplias dentro de la compañía.</w:t>
      </w:r>
    </w:p>
    <w:p w:rsidR="008824DC" w:rsidP="0099281B" w:rsidRDefault="01F01860" w14:paraId="2F994818" w14:textId="31489D13">
      <w:pPr>
        <w:spacing w:line="276" w:lineRule="auto"/>
        <w:jc w:val="both"/>
        <w:rPr>
          <w:sz w:val="22"/>
          <w:szCs w:val="22"/>
        </w:rPr>
      </w:pPr>
      <w:r w:rsidRPr="73C8AC37">
        <w:rPr>
          <w:sz w:val="22"/>
          <w:szCs w:val="22"/>
        </w:rPr>
        <w:t>Previo al descubrimiento del escándalo, existieron múltiples señales de advertencia que fueron aparentemente ignoradas por la organización. Informes de investigación indicaron que ingenieros y técnicos internos expresaron preocupaciones sobre la legalidad y eficacia del software instalado (Collantes &amp; Sperling, 2016). Sin embargo, estas advertencias no se tradujeron en acciones correctivas debido a la presión interna para mantener la competitividad y los márgenes de beneficio de la empresa.</w:t>
      </w:r>
    </w:p>
    <w:p w:rsidR="008824DC" w:rsidP="0099281B" w:rsidRDefault="01F01860" w14:paraId="1BAC59C8" w14:textId="2BB6BC70">
      <w:pPr>
        <w:spacing w:line="276" w:lineRule="auto"/>
        <w:jc w:val="both"/>
        <w:rPr>
          <w:sz w:val="22"/>
          <w:szCs w:val="22"/>
        </w:rPr>
      </w:pPr>
      <w:r w:rsidRPr="73C8AC37">
        <w:rPr>
          <w:sz w:val="22"/>
          <w:szCs w:val="22"/>
        </w:rPr>
        <w:t>La implantación de un software de manipulación sugiere un proceso de normalización del riesgo, donde las decisiones arriesgadas se convirtieron en la norma dentro de la cultura corporativa de Volkswagen (Organización Internacional de Constructores de Automóviles, 2017). La organización optó por soluciones técnicas que comprometían valores éticos y legales en su búsqueda de liderazgo de mercado.</w:t>
      </w:r>
    </w:p>
    <w:p w:rsidR="008824DC" w:rsidP="0099281B" w:rsidRDefault="01F01860" w14:paraId="1FE6DACB" w14:textId="1B7C332C">
      <w:pPr>
        <w:spacing w:line="276" w:lineRule="auto"/>
        <w:jc w:val="both"/>
        <w:rPr>
          <w:sz w:val="22"/>
          <w:szCs w:val="22"/>
        </w:rPr>
      </w:pPr>
      <w:r w:rsidRPr="73C8AC37">
        <w:rPr>
          <w:sz w:val="22"/>
          <w:szCs w:val="22"/>
        </w:rPr>
        <w:t>Las prácticas fraudulentas de VW eran síntoma de fallas latentes acumuladas en sus controles internos y en su cultura corporativa de cumplimiento. Estas incluían lagunas en la transparencia operativa y una insuficiente supervisión regulatoria interna que permitieron que las mismas continuaran durante años sin ser detectadas (Vaughan &amp; Panda, 2018).</w:t>
      </w:r>
      <w:r w:rsidR="008353B1">
        <w:rPr>
          <w:sz w:val="22"/>
          <w:szCs w:val="22"/>
        </w:rPr>
        <w:t xml:space="preserve"> </w:t>
      </w:r>
      <w:r w:rsidRPr="73C8AC37">
        <w:rPr>
          <w:sz w:val="22"/>
          <w:szCs w:val="22"/>
        </w:rPr>
        <w:t>El evento crítico se presentó cuando la EPA emitió un aviso de violación a Volkswagen, irremediablemente dañando su posicionamiento de marca y desencadenando una cascada de sanciones legales y financieras. La crisis resultante no solo llevó a una disminución significativa de la valoración de mercado de VW, sino que también motivó revisiones regulatorias en la industria automotriz en general (EPA, 2015).</w:t>
      </w:r>
    </w:p>
    <w:p w:rsidR="008824DC" w:rsidP="0099281B" w:rsidRDefault="01F01860" w14:paraId="4982627A" w14:textId="276A91EF">
      <w:pPr>
        <w:spacing w:line="276" w:lineRule="auto"/>
        <w:jc w:val="both"/>
        <w:rPr>
          <w:sz w:val="22"/>
          <w:szCs w:val="22"/>
        </w:rPr>
      </w:pPr>
      <w:r w:rsidRPr="73C8AC37">
        <w:rPr>
          <w:sz w:val="22"/>
          <w:szCs w:val="22"/>
        </w:rPr>
        <w:t>A nivel de política pública, el "</w:t>
      </w:r>
      <w:proofErr w:type="spellStart"/>
      <w:r w:rsidRPr="73C8AC37">
        <w:rPr>
          <w:sz w:val="22"/>
          <w:szCs w:val="22"/>
        </w:rPr>
        <w:t>Dieselgate</w:t>
      </w:r>
      <w:proofErr w:type="spellEnd"/>
      <w:r w:rsidRPr="73C8AC37">
        <w:rPr>
          <w:sz w:val="22"/>
          <w:szCs w:val="22"/>
        </w:rPr>
        <w:t>" catalizó una evaluación más amplia y profunda de las normativas sobre emisiones de vehículos, obligando a reguladores en Europa y Estados Unidos a revisar sus procedimientos de homologación (Ewing, 2015). El caso puso de manifiesto la necesidad de estándares más estrictos y mecanismos de cumplimiento más eficaces para prevenir la manipulación y el fraude a gran escala.</w:t>
      </w:r>
    </w:p>
    <w:p w:rsidR="00F76FA3" w:rsidP="0099281B" w:rsidRDefault="01F01860" w14:paraId="4E61243C" w14:textId="33D6D5DF">
      <w:pPr>
        <w:spacing w:line="276" w:lineRule="auto"/>
        <w:jc w:val="both"/>
        <w:rPr>
          <w:sz w:val="22"/>
          <w:szCs w:val="22"/>
          <w:lang w:val="en-US"/>
        </w:rPr>
      </w:pPr>
      <w:r w:rsidRPr="73C8AC37">
        <w:rPr>
          <w:sz w:val="22"/>
          <w:szCs w:val="22"/>
        </w:rPr>
        <w:t>El escándalo de Volkswagen representa una lección crítica en términos de ética corporativa, regulación industrial y cumplimiento medioambiental. Destaca la importancia de una estructura corporativa que valore no solo la rentabilidad y el éxito comercial, sino también el cumplimiento con principios legales y éticos. Asimismo, subraya la importancia de la intervención proactiva de políticas públicas para garantizar la integridad del mercado y la protección</w:t>
      </w:r>
      <w:r w:rsidRPr="73C8AC37">
        <w:rPr>
          <w:sz w:val="22"/>
          <w:szCs w:val="22"/>
          <w:lang w:val="en-US"/>
        </w:rPr>
        <w:t xml:space="preserve"> del medio </w:t>
      </w:r>
      <w:proofErr w:type="spellStart"/>
      <w:r w:rsidRPr="73C8AC37">
        <w:rPr>
          <w:sz w:val="22"/>
          <w:szCs w:val="22"/>
          <w:lang w:val="en-US"/>
        </w:rPr>
        <w:t>ambiente</w:t>
      </w:r>
      <w:proofErr w:type="spellEnd"/>
      <w:r w:rsidRPr="73C8AC37">
        <w:rPr>
          <w:sz w:val="22"/>
          <w:szCs w:val="22"/>
          <w:lang w:val="en-US"/>
        </w:rPr>
        <w:t>.</w:t>
      </w:r>
    </w:p>
    <w:p w:rsidR="0088420E" w:rsidP="0099281B" w:rsidRDefault="0088420E" w14:paraId="60E975EA" w14:textId="77777777">
      <w:pPr>
        <w:spacing w:line="276" w:lineRule="auto"/>
        <w:jc w:val="both"/>
        <w:rPr>
          <w:sz w:val="22"/>
          <w:szCs w:val="22"/>
          <w:lang w:val="en-US"/>
        </w:rPr>
      </w:pPr>
    </w:p>
    <w:p w:rsidRPr="00597086" w:rsidR="006B5927" w:rsidP="0099281B" w:rsidRDefault="006B5927" w14:paraId="7012CA33" w14:textId="1CBEF18B">
      <w:pPr>
        <w:pStyle w:val="Ttulo3"/>
        <w:numPr>
          <w:ilvl w:val="2"/>
          <w:numId w:val="6"/>
        </w:numPr>
        <w:spacing w:line="276" w:lineRule="auto"/>
        <w:jc w:val="both"/>
        <w:rPr>
          <w:b/>
          <w:bCs/>
          <w:color w:val="auto"/>
          <w:sz w:val="24"/>
          <w:szCs w:val="24"/>
          <w:lang w:val="en-US"/>
        </w:rPr>
      </w:pPr>
      <w:bookmarkStart w:name="_Toc225160618" w:id="23"/>
      <w:proofErr w:type="spellStart"/>
      <w:r w:rsidRPr="00597086">
        <w:rPr>
          <w:b/>
          <w:bCs/>
          <w:color w:val="auto"/>
          <w:sz w:val="24"/>
          <w:szCs w:val="24"/>
        </w:rPr>
        <w:lastRenderedPageBreak/>
        <w:t>Theranos</w:t>
      </w:r>
      <w:proofErr w:type="spellEnd"/>
      <w:r w:rsidRPr="00597086">
        <w:rPr>
          <w:b/>
          <w:bCs/>
          <w:color w:val="auto"/>
          <w:sz w:val="24"/>
          <w:szCs w:val="24"/>
        </w:rPr>
        <w:t>: el fraude en la tecnología de los cuidados de salud</w:t>
      </w:r>
      <w:bookmarkEnd w:id="23"/>
      <w:r w:rsidRPr="00597086" w:rsidR="004F7E4A">
        <w:rPr>
          <w:b/>
          <w:bCs/>
          <w:color w:val="auto"/>
          <w:sz w:val="24"/>
          <w:szCs w:val="24"/>
        </w:rPr>
        <w:t xml:space="preserve"> </w:t>
      </w:r>
    </w:p>
    <w:p w:rsidRPr="00F76FA3" w:rsidR="00F76FA3" w:rsidP="0099281B" w:rsidRDefault="00F76FA3" w14:paraId="4DDA7DC2" w14:textId="77777777">
      <w:pPr>
        <w:pStyle w:val="Prrafodelista"/>
        <w:spacing w:line="276" w:lineRule="auto"/>
        <w:ind w:left="1080"/>
        <w:jc w:val="both"/>
        <w:rPr>
          <w:b/>
          <w:bCs/>
          <w:sz w:val="22"/>
          <w:szCs w:val="22"/>
          <w:lang w:val="en-US"/>
        </w:rPr>
      </w:pPr>
    </w:p>
    <w:p w:rsidR="00A2250C" w:rsidP="0099281B" w:rsidRDefault="00DC5F5D" w14:paraId="4E68B41F" w14:textId="77777777">
      <w:pPr>
        <w:spacing w:line="276" w:lineRule="auto"/>
        <w:jc w:val="both"/>
        <w:rPr>
          <w:sz w:val="22"/>
          <w:szCs w:val="22"/>
        </w:rPr>
      </w:pPr>
      <w:r w:rsidRPr="00F16C32">
        <w:rPr>
          <w:sz w:val="22"/>
          <w:szCs w:val="22"/>
        </w:rPr>
        <w:t xml:space="preserve">La empresa fue </w:t>
      </w:r>
      <w:r w:rsidRPr="0096305F">
        <w:rPr>
          <w:sz w:val="22"/>
          <w:szCs w:val="22"/>
        </w:rPr>
        <w:t>fundada en 2003 por Elizabeth Holmes</w:t>
      </w:r>
      <w:r w:rsidRPr="00F16C32" w:rsidR="004E4A6A">
        <w:rPr>
          <w:sz w:val="22"/>
          <w:szCs w:val="22"/>
        </w:rPr>
        <w:t xml:space="preserve"> y se </w:t>
      </w:r>
      <w:r w:rsidRPr="00F16C32" w:rsidR="00707088">
        <w:rPr>
          <w:sz w:val="22"/>
          <w:szCs w:val="22"/>
        </w:rPr>
        <w:t>promovía bajo la idea de que</w:t>
      </w:r>
      <w:r w:rsidRPr="00F16C32" w:rsidR="00180712">
        <w:rPr>
          <w:sz w:val="22"/>
          <w:szCs w:val="22"/>
        </w:rPr>
        <w:t xml:space="preserve"> había desarrollado</w:t>
      </w:r>
      <w:r w:rsidRPr="0096305F">
        <w:rPr>
          <w:sz w:val="22"/>
          <w:szCs w:val="22"/>
        </w:rPr>
        <w:t xml:space="preserve"> una tecnología innovadora capaz de realizar cientos de pruebas </w:t>
      </w:r>
      <w:r w:rsidRPr="00F16C32" w:rsidR="00F75B7D">
        <w:rPr>
          <w:sz w:val="22"/>
          <w:szCs w:val="22"/>
        </w:rPr>
        <w:t>que servirían</w:t>
      </w:r>
      <w:r w:rsidRPr="00F16C32" w:rsidR="00D15C91">
        <w:rPr>
          <w:sz w:val="22"/>
          <w:szCs w:val="22"/>
        </w:rPr>
        <w:t xml:space="preserve"> para </w:t>
      </w:r>
      <w:r w:rsidRPr="00F16C32" w:rsidR="00F16C32">
        <w:rPr>
          <w:sz w:val="22"/>
          <w:szCs w:val="22"/>
        </w:rPr>
        <w:t>conocer</w:t>
      </w:r>
      <w:r w:rsidRPr="00393222" w:rsidR="00AE3DE3">
        <w:rPr>
          <w:sz w:val="22"/>
          <w:szCs w:val="22"/>
        </w:rPr>
        <w:t xml:space="preserve"> </w:t>
      </w:r>
      <w:r w:rsidR="00813EED">
        <w:rPr>
          <w:sz w:val="22"/>
          <w:szCs w:val="22"/>
        </w:rPr>
        <w:t xml:space="preserve">desde </w:t>
      </w:r>
      <w:r w:rsidRPr="00393222" w:rsidR="00AE3DE3">
        <w:rPr>
          <w:sz w:val="22"/>
          <w:szCs w:val="22"/>
        </w:rPr>
        <w:t>niveles de colesterol hasta detección de cáncer</w:t>
      </w:r>
      <w:r w:rsidRPr="00F16C32" w:rsidR="00F16C32">
        <w:rPr>
          <w:sz w:val="22"/>
          <w:szCs w:val="22"/>
        </w:rPr>
        <w:t xml:space="preserve"> </w:t>
      </w:r>
      <w:r w:rsidRPr="00393222" w:rsidR="00AE3DE3">
        <w:rPr>
          <w:sz w:val="22"/>
          <w:szCs w:val="22"/>
        </w:rPr>
        <w:t>utilizando únicamente una pequeña punción en el dedo para obtener sangre</w:t>
      </w:r>
      <w:r w:rsidRPr="00F16C32" w:rsidR="00AE3DE3">
        <w:rPr>
          <w:sz w:val="22"/>
          <w:szCs w:val="22"/>
        </w:rPr>
        <w:t xml:space="preserve"> </w:t>
      </w:r>
      <w:r w:rsidR="00813EED">
        <w:rPr>
          <w:sz w:val="22"/>
          <w:szCs w:val="22"/>
        </w:rPr>
        <w:t xml:space="preserve">y analizarla </w:t>
      </w:r>
      <w:r w:rsidRPr="00F16C32" w:rsidR="00792194">
        <w:rPr>
          <w:sz w:val="22"/>
          <w:szCs w:val="22"/>
        </w:rPr>
        <w:t>con su dispositivo “Edison”</w:t>
      </w:r>
      <w:r w:rsidRPr="0096305F">
        <w:rPr>
          <w:sz w:val="22"/>
          <w:szCs w:val="22"/>
        </w:rPr>
        <w:t xml:space="preserve">, </w:t>
      </w:r>
      <w:r w:rsidRPr="00F16C32" w:rsidR="00C77415">
        <w:rPr>
          <w:sz w:val="22"/>
          <w:szCs w:val="22"/>
        </w:rPr>
        <w:t xml:space="preserve">reduciendo así no sólo los costos sino la </w:t>
      </w:r>
      <w:r w:rsidRPr="00F16C32">
        <w:rPr>
          <w:sz w:val="22"/>
          <w:szCs w:val="22"/>
        </w:rPr>
        <w:t>condición</w:t>
      </w:r>
      <w:r w:rsidRPr="00D24B98">
        <w:rPr>
          <w:sz w:val="22"/>
          <w:szCs w:val="22"/>
        </w:rPr>
        <w:t xml:space="preserve"> invasiva</w:t>
      </w:r>
      <w:r w:rsidRPr="0096305F">
        <w:rPr>
          <w:sz w:val="22"/>
          <w:szCs w:val="22"/>
        </w:rPr>
        <w:t xml:space="preserve"> de los análisis de sangre tradicionales (Griffin, 2020).</w:t>
      </w:r>
      <w:r w:rsidRPr="00D24B98" w:rsidR="007A4956">
        <w:rPr>
          <w:sz w:val="22"/>
          <w:szCs w:val="22"/>
        </w:rPr>
        <w:t xml:space="preserve"> </w:t>
      </w:r>
    </w:p>
    <w:p w:rsidR="007F57C1" w:rsidP="0099281B" w:rsidRDefault="00A2250C" w14:paraId="01CD3685" w14:textId="2AC477FA">
      <w:pPr>
        <w:spacing w:line="276" w:lineRule="auto"/>
        <w:jc w:val="both"/>
        <w:rPr>
          <w:sz w:val="22"/>
          <w:szCs w:val="22"/>
        </w:rPr>
      </w:pPr>
      <w:r w:rsidRPr="00393222">
        <w:rPr>
          <w:sz w:val="22"/>
          <w:szCs w:val="22"/>
        </w:rPr>
        <w:t xml:space="preserve">Holmes y su equipo aseguraron continuamente a los inversionistas y al público que la tecnología era eficaz, confiable y estaba preparada para transformar la industria tradicional de análisis de laboratorio. </w:t>
      </w:r>
      <w:r w:rsidR="000A40FD">
        <w:rPr>
          <w:sz w:val="22"/>
          <w:szCs w:val="22"/>
        </w:rPr>
        <w:t>P</w:t>
      </w:r>
      <w:r w:rsidRPr="00D24B98" w:rsidR="00191D72">
        <w:rPr>
          <w:sz w:val="22"/>
          <w:szCs w:val="22"/>
        </w:rPr>
        <w:t>rometía</w:t>
      </w:r>
      <w:r w:rsidRPr="00D24B98" w:rsidR="00154501">
        <w:rPr>
          <w:sz w:val="22"/>
          <w:szCs w:val="22"/>
        </w:rPr>
        <w:t xml:space="preserve"> mayo</w:t>
      </w:r>
      <w:r w:rsidR="00122ED5">
        <w:rPr>
          <w:sz w:val="22"/>
          <w:szCs w:val="22"/>
        </w:rPr>
        <w:t>r</w:t>
      </w:r>
      <w:r w:rsidRPr="00D24B98" w:rsidR="00154501">
        <w:rPr>
          <w:sz w:val="22"/>
          <w:szCs w:val="22"/>
        </w:rPr>
        <w:t xml:space="preserve"> accesibilidad</w:t>
      </w:r>
      <w:r w:rsidRPr="00D24B98" w:rsidR="00D553D8">
        <w:rPr>
          <w:sz w:val="22"/>
          <w:szCs w:val="22"/>
        </w:rPr>
        <w:t>, ase</w:t>
      </w:r>
      <w:r w:rsidRPr="00D24B98" w:rsidR="00A85729">
        <w:rPr>
          <w:sz w:val="22"/>
          <w:szCs w:val="22"/>
        </w:rPr>
        <w:t>quibilidad y menos dolor para los pacientes</w:t>
      </w:r>
      <w:r w:rsidRPr="00D24B98" w:rsidR="00262564">
        <w:rPr>
          <w:sz w:val="22"/>
          <w:szCs w:val="22"/>
        </w:rPr>
        <w:t xml:space="preserve"> </w:t>
      </w:r>
      <w:r w:rsidRPr="0096305F" w:rsidR="000F5FCA">
        <w:rPr>
          <w:sz w:val="22"/>
          <w:szCs w:val="22"/>
        </w:rPr>
        <w:t>(Fiala y Diamandis, 2018). La tecnología también fue promovida como una herramienta capaz de democratizar la atención sanitaria, colocando el poder del diagnóstico directamente en manos de los pacientes y potencialmente revolucionando la atención preventiva.</w:t>
      </w:r>
      <w:r w:rsidR="00D55DA1">
        <w:rPr>
          <w:sz w:val="22"/>
          <w:szCs w:val="22"/>
        </w:rPr>
        <w:t xml:space="preserve"> No obstante, con el paso del tiempo </w:t>
      </w:r>
      <w:r w:rsidRPr="00BD7294" w:rsidR="00D55DA1">
        <w:rPr>
          <w:sz w:val="22"/>
          <w:szCs w:val="22"/>
        </w:rPr>
        <w:t xml:space="preserve">y </w:t>
      </w:r>
      <w:r w:rsidR="00D55DA1">
        <w:rPr>
          <w:sz w:val="22"/>
          <w:szCs w:val="22"/>
        </w:rPr>
        <w:t xml:space="preserve">pese a ganar confiablidad en los inversionistas, </w:t>
      </w:r>
      <w:r w:rsidRPr="00393222" w:rsidR="00D55DA1">
        <w:rPr>
          <w:sz w:val="22"/>
          <w:szCs w:val="22"/>
        </w:rPr>
        <w:t xml:space="preserve">comenzaron a surgir preocupaciones internas </w:t>
      </w:r>
      <w:r w:rsidR="001D5616">
        <w:rPr>
          <w:sz w:val="22"/>
          <w:szCs w:val="22"/>
        </w:rPr>
        <w:t xml:space="preserve">sobre </w:t>
      </w:r>
      <w:r w:rsidR="00F82579">
        <w:rPr>
          <w:sz w:val="22"/>
          <w:szCs w:val="22"/>
        </w:rPr>
        <w:t>la eficacia</w:t>
      </w:r>
      <w:r w:rsidR="0026628F">
        <w:rPr>
          <w:sz w:val="22"/>
          <w:szCs w:val="22"/>
        </w:rPr>
        <w:t xml:space="preserve"> de su</w:t>
      </w:r>
      <w:r w:rsidRPr="00393222" w:rsidR="00D55DA1">
        <w:rPr>
          <w:sz w:val="22"/>
          <w:szCs w:val="22"/>
        </w:rPr>
        <w:t xml:space="preserve"> tecnología.</w:t>
      </w:r>
      <w:r w:rsidR="001D5616">
        <w:rPr>
          <w:sz w:val="22"/>
          <w:szCs w:val="22"/>
        </w:rPr>
        <w:t xml:space="preserve"> </w:t>
      </w:r>
      <w:r w:rsidRPr="00393222" w:rsidR="00D55DA1">
        <w:rPr>
          <w:sz w:val="22"/>
          <w:szCs w:val="22"/>
        </w:rPr>
        <w:t>Denunciantes internos dentro de la empresa</w:t>
      </w:r>
      <w:r w:rsidR="00D55DA1">
        <w:rPr>
          <w:sz w:val="22"/>
          <w:szCs w:val="22"/>
        </w:rPr>
        <w:t xml:space="preserve"> </w:t>
      </w:r>
      <w:r w:rsidRPr="00393222" w:rsidR="00D55DA1">
        <w:rPr>
          <w:sz w:val="22"/>
          <w:szCs w:val="22"/>
        </w:rPr>
        <w:t xml:space="preserve">alertaron sobre la precisión y la fiabilidad del dispositivo </w:t>
      </w:r>
      <w:r w:rsidRPr="003A0982" w:rsidR="00D55DA1">
        <w:rPr>
          <w:i/>
          <w:iCs/>
          <w:sz w:val="22"/>
          <w:szCs w:val="22"/>
        </w:rPr>
        <w:t>“</w:t>
      </w:r>
      <w:r w:rsidRPr="00393222" w:rsidR="00D55DA1">
        <w:rPr>
          <w:i/>
          <w:iCs/>
          <w:sz w:val="22"/>
          <w:szCs w:val="22"/>
        </w:rPr>
        <w:t>Edison</w:t>
      </w:r>
      <w:r w:rsidRPr="003A0982" w:rsidR="00D55DA1">
        <w:rPr>
          <w:i/>
          <w:iCs/>
          <w:sz w:val="22"/>
          <w:szCs w:val="22"/>
        </w:rPr>
        <w:t>”</w:t>
      </w:r>
      <w:r w:rsidRPr="00393222" w:rsidR="00D55DA1">
        <w:rPr>
          <w:i/>
          <w:iCs/>
          <w:sz w:val="22"/>
          <w:szCs w:val="22"/>
        </w:rPr>
        <w:t>,</w:t>
      </w:r>
      <w:r w:rsidRPr="00393222" w:rsidR="00D55DA1">
        <w:rPr>
          <w:sz w:val="22"/>
          <w:szCs w:val="22"/>
        </w:rPr>
        <w:t xml:space="preserve"> que </w:t>
      </w:r>
      <w:r w:rsidR="00D55DA1">
        <w:rPr>
          <w:sz w:val="22"/>
          <w:szCs w:val="22"/>
        </w:rPr>
        <w:t>frecuentemente</w:t>
      </w:r>
      <w:r w:rsidRPr="00393222" w:rsidR="00D55DA1">
        <w:rPr>
          <w:sz w:val="22"/>
          <w:szCs w:val="22"/>
        </w:rPr>
        <w:t xml:space="preserve"> producía resultados de pruebas inconsistentes y erróneos (Rogal, 2020). </w:t>
      </w:r>
      <w:r w:rsidR="00D55DA1">
        <w:rPr>
          <w:sz w:val="22"/>
          <w:szCs w:val="22"/>
        </w:rPr>
        <w:t>Sin embargo, e</w:t>
      </w:r>
      <w:r w:rsidRPr="00393222" w:rsidR="00D55DA1">
        <w:rPr>
          <w:sz w:val="22"/>
          <w:szCs w:val="22"/>
        </w:rPr>
        <w:t xml:space="preserve">stas preocupaciones internas fueron ignoradas y los empleados fueron presionados para guardar silencio sobre las fallas de la tecnología. </w:t>
      </w:r>
    </w:p>
    <w:p w:rsidRPr="003E45B7" w:rsidR="003E45B7" w:rsidP="0099281B" w:rsidRDefault="003E45B7" w14:paraId="5946CB89" w14:textId="784AFBEF">
      <w:pPr>
        <w:spacing w:line="276" w:lineRule="auto"/>
        <w:jc w:val="both"/>
        <w:rPr>
          <w:sz w:val="22"/>
          <w:szCs w:val="22"/>
        </w:rPr>
      </w:pPr>
      <w:r w:rsidRPr="003E45B7">
        <w:rPr>
          <w:sz w:val="22"/>
          <w:szCs w:val="22"/>
        </w:rPr>
        <w:t>La estructura organizacional</w:t>
      </w:r>
      <w:r w:rsidR="009E0CB1">
        <w:rPr>
          <w:sz w:val="22"/>
          <w:szCs w:val="22"/>
        </w:rPr>
        <w:t xml:space="preserve"> de </w:t>
      </w:r>
      <w:proofErr w:type="spellStart"/>
      <w:r w:rsidR="009E0CB1">
        <w:rPr>
          <w:sz w:val="22"/>
          <w:szCs w:val="22"/>
        </w:rPr>
        <w:t>Theranos</w:t>
      </w:r>
      <w:proofErr w:type="spellEnd"/>
      <w:r w:rsidRPr="003E45B7">
        <w:rPr>
          <w:sz w:val="22"/>
          <w:szCs w:val="22"/>
        </w:rPr>
        <w:t xml:space="preserve"> estaba altamente centralizada alrededor del liderazgo de Holmes, quien ejercía simultáneamente </w:t>
      </w:r>
      <w:r w:rsidR="00802578">
        <w:rPr>
          <w:sz w:val="22"/>
          <w:szCs w:val="22"/>
        </w:rPr>
        <w:t>como</w:t>
      </w:r>
      <w:r w:rsidRPr="003E45B7">
        <w:rPr>
          <w:sz w:val="22"/>
          <w:szCs w:val="22"/>
        </w:rPr>
        <w:t xml:space="preserve"> fundadora, directora ejecutiva (CEO) y principal figura estratégica de la organización. El director de operaciones, Ramesh “Sunny” </w:t>
      </w:r>
      <w:proofErr w:type="spellStart"/>
      <w:r w:rsidRPr="003E45B7">
        <w:rPr>
          <w:sz w:val="22"/>
          <w:szCs w:val="22"/>
        </w:rPr>
        <w:t>Balwani</w:t>
      </w:r>
      <w:proofErr w:type="spellEnd"/>
      <w:r w:rsidR="005E7C03">
        <w:rPr>
          <w:sz w:val="22"/>
          <w:szCs w:val="22"/>
        </w:rPr>
        <w:t xml:space="preserve"> se unió en 2009</w:t>
      </w:r>
      <w:r w:rsidR="00C66969">
        <w:rPr>
          <w:sz w:val="22"/>
          <w:szCs w:val="22"/>
        </w:rPr>
        <w:t xml:space="preserve"> convirtiéndose en la persona de confianza de Holmes</w:t>
      </w:r>
      <w:r w:rsidR="001841E7">
        <w:rPr>
          <w:sz w:val="22"/>
          <w:szCs w:val="22"/>
        </w:rPr>
        <w:t>, quien se caracterizó por ejercer el control operativo y gran influencia en la cultura organizacional</w:t>
      </w:r>
      <w:r w:rsidR="007B532E">
        <w:rPr>
          <w:sz w:val="22"/>
          <w:szCs w:val="22"/>
        </w:rPr>
        <w:t xml:space="preserve"> de la compañía</w:t>
      </w:r>
      <w:r w:rsidRPr="003E45B7">
        <w:rPr>
          <w:sz w:val="22"/>
          <w:szCs w:val="22"/>
        </w:rPr>
        <w:t>.</w:t>
      </w:r>
      <w:r w:rsidRPr="00880DA4" w:rsidR="00880DA4">
        <w:rPr>
          <w:sz w:val="22"/>
          <w:szCs w:val="22"/>
        </w:rPr>
        <w:t xml:space="preserve"> El atractivo de transformar el sistema de salud atrajo una gran atención y para 2014 </w:t>
      </w:r>
      <w:proofErr w:type="spellStart"/>
      <w:r w:rsidRPr="00880DA4" w:rsidR="00880DA4">
        <w:rPr>
          <w:sz w:val="22"/>
          <w:szCs w:val="22"/>
        </w:rPr>
        <w:t>Theranos</w:t>
      </w:r>
      <w:proofErr w:type="spellEnd"/>
      <w:r w:rsidRPr="00880DA4" w:rsidR="00880DA4">
        <w:rPr>
          <w:sz w:val="22"/>
          <w:szCs w:val="22"/>
        </w:rPr>
        <w:t xml:space="preserve"> estaba valorada en más de 9 mil millones de dólares (</w:t>
      </w:r>
      <w:proofErr w:type="spellStart"/>
      <w:r w:rsidRPr="00880DA4" w:rsidR="00880DA4">
        <w:rPr>
          <w:sz w:val="22"/>
          <w:szCs w:val="22"/>
        </w:rPr>
        <w:t>Carreyrou</w:t>
      </w:r>
      <w:proofErr w:type="spellEnd"/>
      <w:r w:rsidRPr="00880DA4" w:rsidR="00880DA4">
        <w:rPr>
          <w:sz w:val="22"/>
          <w:szCs w:val="22"/>
        </w:rPr>
        <w:t xml:space="preserve">, 2020; </w:t>
      </w:r>
      <w:proofErr w:type="spellStart"/>
      <w:r w:rsidRPr="00880DA4" w:rsidR="00880DA4">
        <w:rPr>
          <w:sz w:val="22"/>
          <w:szCs w:val="22"/>
        </w:rPr>
        <w:t>Grybos</w:t>
      </w:r>
      <w:proofErr w:type="spellEnd"/>
      <w:r w:rsidRPr="00880DA4" w:rsidR="00880DA4">
        <w:rPr>
          <w:sz w:val="22"/>
          <w:szCs w:val="22"/>
        </w:rPr>
        <w:t>, 2023).</w:t>
      </w:r>
    </w:p>
    <w:p w:rsidR="003E45B7" w:rsidP="0099281B" w:rsidRDefault="003E45B7" w14:paraId="0BFB1D2A" w14:textId="74826231">
      <w:pPr>
        <w:spacing w:line="276" w:lineRule="auto"/>
        <w:jc w:val="both"/>
        <w:rPr>
          <w:sz w:val="22"/>
          <w:szCs w:val="22"/>
        </w:rPr>
      </w:pPr>
      <w:r w:rsidRPr="003E45B7">
        <w:rPr>
          <w:sz w:val="22"/>
          <w:szCs w:val="22"/>
        </w:rPr>
        <w:t>La</w:t>
      </w:r>
      <w:r w:rsidR="00100CEF">
        <w:rPr>
          <w:sz w:val="22"/>
          <w:szCs w:val="22"/>
        </w:rPr>
        <w:t xml:space="preserve"> </w:t>
      </w:r>
      <w:r w:rsidRPr="003E45B7">
        <w:rPr>
          <w:sz w:val="22"/>
          <w:szCs w:val="22"/>
        </w:rPr>
        <w:t>junta</w:t>
      </w:r>
      <w:r w:rsidR="00100CEF">
        <w:rPr>
          <w:sz w:val="22"/>
          <w:szCs w:val="22"/>
        </w:rPr>
        <w:t xml:space="preserve"> </w:t>
      </w:r>
      <w:r w:rsidRPr="003E45B7">
        <w:rPr>
          <w:sz w:val="22"/>
          <w:szCs w:val="22"/>
        </w:rPr>
        <w:t>directiva</w:t>
      </w:r>
      <w:r w:rsidR="00100CEF">
        <w:rPr>
          <w:sz w:val="22"/>
          <w:szCs w:val="22"/>
        </w:rPr>
        <w:t xml:space="preserve"> </w:t>
      </w:r>
      <w:r w:rsidRPr="003E45B7">
        <w:rPr>
          <w:sz w:val="22"/>
          <w:szCs w:val="22"/>
        </w:rPr>
        <w:t>estaba</w:t>
      </w:r>
      <w:r w:rsidR="00100CEF">
        <w:rPr>
          <w:sz w:val="22"/>
          <w:szCs w:val="22"/>
        </w:rPr>
        <w:t xml:space="preserve"> </w:t>
      </w:r>
      <w:r w:rsidRPr="003E45B7">
        <w:rPr>
          <w:sz w:val="22"/>
          <w:szCs w:val="22"/>
        </w:rPr>
        <w:t>compuesta</w:t>
      </w:r>
      <w:r w:rsidR="00100CEF">
        <w:rPr>
          <w:sz w:val="22"/>
          <w:szCs w:val="22"/>
        </w:rPr>
        <w:t xml:space="preserve"> </w:t>
      </w:r>
      <w:r w:rsidRPr="003E45B7">
        <w:rPr>
          <w:sz w:val="22"/>
          <w:szCs w:val="22"/>
        </w:rPr>
        <w:t>por</w:t>
      </w:r>
      <w:r w:rsidR="00100CEF">
        <w:rPr>
          <w:sz w:val="22"/>
          <w:szCs w:val="22"/>
        </w:rPr>
        <w:t xml:space="preserve"> </w:t>
      </w:r>
      <w:r w:rsidRPr="003E45B7">
        <w:rPr>
          <w:sz w:val="22"/>
          <w:szCs w:val="22"/>
        </w:rPr>
        <w:t>figuras</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alto</w:t>
      </w:r>
      <w:r w:rsidR="00100CEF">
        <w:rPr>
          <w:sz w:val="22"/>
          <w:szCs w:val="22"/>
        </w:rPr>
        <w:t xml:space="preserve"> </w:t>
      </w:r>
      <w:r w:rsidRPr="003E45B7">
        <w:rPr>
          <w:sz w:val="22"/>
          <w:szCs w:val="22"/>
        </w:rPr>
        <w:t>perfil</w:t>
      </w:r>
      <w:r w:rsidR="00100CEF">
        <w:rPr>
          <w:sz w:val="22"/>
          <w:szCs w:val="22"/>
        </w:rPr>
        <w:t xml:space="preserve"> </w:t>
      </w:r>
      <w:r w:rsidRPr="003E45B7">
        <w:rPr>
          <w:sz w:val="22"/>
          <w:szCs w:val="22"/>
        </w:rPr>
        <w:t>provenientes</w:t>
      </w:r>
      <w:r w:rsidR="00100CEF">
        <w:rPr>
          <w:sz w:val="22"/>
          <w:szCs w:val="22"/>
        </w:rPr>
        <w:t xml:space="preserve"> </w:t>
      </w:r>
      <w:r w:rsidRPr="003E45B7">
        <w:rPr>
          <w:sz w:val="22"/>
          <w:szCs w:val="22"/>
        </w:rPr>
        <w:t>del</w:t>
      </w:r>
      <w:r w:rsidR="00100CEF">
        <w:rPr>
          <w:sz w:val="22"/>
          <w:szCs w:val="22"/>
        </w:rPr>
        <w:t xml:space="preserve"> </w:t>
      </w:r>
      <w:r w:rsidRPr="003E45B7">
        <w:rPr>
          <w:sz w:val="22"/>
          <w:szCs w:val="22"/>
        </w:rPr>
        <w:t>ámbito</w:t>
      </w:r>
      <w:r w:rsidR="00100CEF">
        <w:rPr>
          <w:sz w:val="22"/>
          <w:szCs w:val="22"/>
        </w:rPr>
        <w:t xml:space="preserve"> </w:t>
      </w:r>
      <w:r w:rsidRPr="003E45B7">
        <w:rPr>
          <w:sz w:val="22"/>
          <w:szCs w:val="22"/>
        </w:rPr>
        <w:t>político</w:t>
      </w:r>
      <w:r w:rsidR="00100CEF">
        <w:rPr>
          <w:sz w:val="22"/>
          <w:szCs w:val="22"/>
        </w:rPr>
        <w:t xml:space="preserve"> </w:t>
      </w:r>
      <w:r w:rsidRPr="003E45B7">
        <w:rPr>
          <w:sz w:val="22"/>
          <w:szCs w:val="22"/>
        </w:rPr>
        <w:t>y</w:t>
      </w:r>
      <w:r w:rsidR="00100CEF">
        <w:rPr>
          <w:sz w:val="22"/>
          <w:szCs w:val="22"/>
        </w:rPr>
        <w:t xml:space="preserve"> </w:t>
      </w:r>
      <w:r w:rsidRPr="003E45B7">
        <w:rPr>
          <w:sz w:val="22"/>
          <w:szCs w:val="22"/>
        </w:rPr>
        <w:t>empresarial,</w:t>
      </w:r>
      <w:r w:rsidR="00100CEF">
        <w:rPr>
          <w:sz w:val="22"/>
          <w:szCs w:val="22"/>
        </w:rPr>
        <w:t xml:space="preserve"> </w:t>
      </w:r>
      <w:r w:rsidR="002C1393">
        <w:rPr>
          <w:sz w:val="22"/>
          <w:szCs w:val="22"/>
        </w:rPr>
        <w:t>e</w:t>
      </w:r>
      <w:r w:rsidR="00100CEF">
        <w:rPr>
          <w:sz w:val="22"/>
          <w:szCs w:val="22"/>
        </w:rPr>
        <w:t xml:space="preserve"> </w:t>
      </w:r>
      <w:r w:rsidR="002C1393">
        <w:rPr>
          <w:sz w:val="22"/>
          <w:szCs w:val="22"/>
        </w:rPr>
        <w:t>incluía:</w:t>
      </w:r>
      <w:r w:rsidR="00100CEF">
        <w:rPr>
          <w:sz w:val="22"/>
          <w:szCs w:val="22"/>
        </w:rPr>
        <w:t xml:space="preserve"> </w:t>
      </w:r>
      <w:r w:rsidRPr="003E45B7">
        <w:rPr>
          <w:sz w:val="22"/>
          <w:szCs w:val="22"/>
        </w:rPr>
        <w:t>ex</w:t>
      </w:r>
      <w:r w:rsidR="00100CEF">
        <w:rPr>
          <w:sz w:val="22"/>
          <w:szCs w:val="22"/>
        </w:rPr>
        <w:t xml:space="preserve"> </w:t>
      </w:r>
      <w:r w:rsidRPr="003E45B7">
        <w:rPr>
          <w:sz w:val="22"/>
          <w:szCs w:val="22"/>
        </w:rPr>
        <w:t>secretarios</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Estado</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Estados</w:t>
      </w:r>
      <w:r w:rsidR="00100CEF">
        <w:rPr>
          <w:sz w:val="22"/>
          <w:szCs w:val="22"/>
        </w:rPr>
        <w:t xml:space="preserve"> </w:t>
      </w:r>
      <w:r w:rsidRPr="003E45B7">
        <w:rPr>
          <w:sz w:val="22"/>
          <w:szCs w:val="22"/>
        </w:rPr>
        <w:t>Unidos</w:t>
      </w:r>
      <w:r w:rsidR="00100CEF">
        <w:rPr>
          <w:sz w:val="22"/>
          <w:szCs w:val="22"/>
        </w:rPr>
        <w:t xml:space="preserve"> </w:t>
      </w:r>
      <w:r w:rsidRPr="003E45B7">
        <w:rPr>
          <w:sz w:val="22"/>
          <w:szCs w:val="22"/>
        </w:rPr>
        <w:t>y</w:t>
      </w:r>
      <w:r w:rsidR="00100CEF">
        <w:rPr>
          <w:sz w:val="22"/>
          <w:szCs w:val="22"/>
        </w:rPr>
        <w:t xml:space="preserve"> </w:t>
      </w:r>
      <w:r w:rsidRPr="003E45B7">
        <w:rPr>
          <w:sz w:val="22"/>
          <w:szCs w:val="22"/>
        </w:rPr>
        <w:t>líderes</w:t>
      </w:r>
      <w:r w:rsidR="00100CEF">
        <w:rPr>
          <w:sz w:val="22"/>
          <w:szCs w:val="22"/>
        </w:rPr>
        <w:t xml:space="preserve"> </w:t>
      </w:r>
      <w:r w:rsidRPr="003E45B7">
        <w:rPr>
          <w:sz w:val="22"/>
          <w:szCs w:val="22"/>
        </w:rPr>
        <w:t>influyentes</w:t>
      </w:r>
      <w:r w:rsidR="00100CEF">
        <w:rPr>
          <w:sz w:val="22"/>
          <w:szCs w:val="22"/>
        </w:rPr>
        <w:t xml:space="preserve"> </w:t>
      </w:r>
      <w:r w:rsidR="002C1393">
        <w:rPr>
          <w:sz w:val="22"/>
          <w:szCs w:val="22"/>
        </w:rPr>
        <w:t>sin</w:t>
      </w:r>
      <w:r w:rsidR="00100CEF">
        <w:rPr>
          <w:sz w:val="22"/>
          <w:szCs w:val="22"/>
        </w:rPr>
        <w:t xml:space="preserve"> </w:t>
      </w:r>
      <w:r w:rsidR="002C1393">
        <w:rPr>
          <w:sz w:val="22"/>
          <w:szCs w:val="22"/>
        </w:rPr>
        <w:t>experiencia</w:t>
      </w:r>
      <w:r w:rsidR="00100CEF">
        <w:rPr>
          <w:sz w:val="22"/>
          <w:szCs w:val="22"/>
        </w:rPr>
        <w:t xml:space="preserve"> </w:t>
      </w:r>
      <w:r w:rsidRPr="003E45B7">
        <w:rPr>
          <w:sz w:val="22"/>
          <w:szCs w:val="22"/>
        </w:rPr>
        <w:t>técnica</w:t>
      </w:r>
      <w:r w:rsidR="00100CEF">
        <w:rPr>
          <w:sz w:val="22"/>
          <w:szCs w:val="22"/>
        </w:rPr>
        <w:t xml:space="preserve"> </w:t>
      </w:r>
      <w:r w:rsidRPr="003E45B7">
        <w:rPr>
          <w:sz w:val="22"/>
          <w:szCs w:val="22"/>
        </w:rPr>
        <w:t>en</w:t>
      </w:r>
      <w:r w:rsidR="00100CEF">
        <w:rPr>
          <w:sz w:val="22"/>
          <w:szCs w:val="22"/>
        </w:rPr>
        <w:t xml:space="preserve"> </w:t>
      </w:r>
      <w:r w:rsidRPr="003E45B7">
        <w:rPr>
          <w:sz w:val="22"/>
          <w:szCs w:val="22"/>
        </w:rPr>
        <w:t>biotecnología</w:t>
      </w:r>
      <w:r w:rsidR="00100CEF">
        <w:rPr>
          <w:sz w:val="22"/>
          <w:szCs w:val="22"/>
        </w:rPr>
        <w:t xml:space="preserve"> </w:t>
      </w:r>
      <w:r w:rsidRPr="003E45B7">
        <w:rPr>
          <w:sz w:val="22"/>
          <w:szCs w:val="22"/>
        </w:rPr>
        <w:t>o</w:t>
      </w:r>
      <w:r w:rsidR="00100CEF">
        <w:rPr>
          <w:sz w:val="22"/>
          <w:szCs w:val="22"/>
        </w:rPr>
        <w:t xml:space="preserve"> </w:t>
      </w:r>
      <w:r w:rsidRPr="003E45B7">
        <w:rPr>
          <w:sz w:val="22"/>
          <w:szCs w:val="22"/>
        </w:rPr>
        <w:t>diagnóstico</w:t>
      </w:r>
      <w:r w:rsidR="00100CEF">
        <w:rPr>
          <w:sz w:val="22"/>
          <w:szCs w:val="22"/>
        </w:rPr>
        <w:t xml:space="preserve"> </w:t>
      </w:r>
      <w:r w:rsidRPr="003E45B7">
        <w:rPr>
          <w:sz w:val="22"/>
          <w:szCs w:val="22"/>
        </w:rPr>
        <w:t>clínico,</w:t>
      </w:r>
      <w:r w:rsidR="00100CEF">
        <w:rPr>
          <w:sz w:val="22"/>
          <w:szCs w:val="22"/>
        </w:rPr>
        <w:t xml:space="preserve"> </w:t>
      </w:r>
      <w:r w:rsidRPr="003E45B7">
        <w:rPr>
          <w:sz w:val="22"/>
          <w:szCs w:val="22"/>
        </w:rPr>
        <w:t>lo</w:t>
      </w:r>
      <w:r w:rsidR="00100CEF">
        <w:rPr>
          <w:sz w:val="22"/>
          <w:szCs w:val="22"/>
        </w:rPr>
        <w:t xml:space="preserve"> </w:t>
      </w:r>
      <w:r w:rsidRPr="003E45B7">
        <w:rPr>
          <w:sz w:val="22"/>
          <w:szCs w:val="22"/>
        </w:rPr>
        <w:t>que</w:t>
      </w:r>
      <w:r w:rsidR="00100CEF">
        <w:rPr>
          <w:sz w:val="22"/>
          <w:szCs w:val="22"/>
        </w:rPr>
        <w:t xml:space="preserve"> </w:t>
      </w:r>
      <w:r w:rsidRPr="003E45B7">
        <w:rPr>
          <w:sz w:val="22"/>
          <w:szCs w:val="22"/>
        </w:rPr>
        <w:t>limitó</w:t>
      </w:r>
      <w:r w:rsidR="00100CEF">
        <w:rPr>
          <w:sz w:val="22"/>
          <w:szCs w:val="22"/>
        </w:rPr>
        <w:t xml:space="preserve"> </w:t>
      </w:r>
      <w:r w:rsidRPr="003E45B7">
        <w:rPr>
          <w:sz w:val="22"/>
          <w:szCs w:val="22"/>
        </w:rPr>
        <w:t>su</w:t>
      </w:r>
      <w:r w:rsidR="00100CEF">
        <w:rPr>
          <w:sz w:val="22"/>
          <w:szCs w:val="22"/>
        </w:rPr>
        <w:t xml:space="preserve"> </w:t>
      </w:r>
      <w:r w:rsidRPr="003E45B7">
        <w:rPr>
          <w:sz w:val="22"/>
          <w:szCs w:val="22"/>
        </w:rPr>
        <w:t>capacidad</w:t>
      </w:r>
      <w:r w:rsidR="00100CEF">
        <w:rPr>
          <w:sz w:val="22"/>
          <w:szCs w:val="22"/>
        </w:rPr>
        <w:t xml:space="preserve"> </w:t>
      </w:r>
      <w:r w:rsidRPr="003E45B7">
        <w:rPr>
          <w:sz w:val="22"/>
          <w:szCs w:val="22"/>
        </w:rPr>
        <w:t>para</w:t>
      </w:r>
      <w:r w:rsidR="00100CEF">
        <w:rPr>
          <w:sz w:val="22"/>
          <w:szCs w:val="22"/>
        </w:rPr>
        <w:t xml:space="preserve"> </w:t>
      </w:r>
      <w:r w:rsidRPr="003E45B7">
        <w:rPr>
          <w:sz w:val="22"/>
          <w:szCs w:val="22"/>
        </w:rPr>
        <w:t>supervisar</w:t>
      </w:r>
      <w:r w:rsidR="00100CEF">
        <w:rPr>
          <w:sz w:val="22"/>
          <w:szCs w:val="22"/>
        </w:rPr>
        <w:t xml:space="preserve"> </w:t>
      </w:r>
      <w:r w:rsidRPr="003E45B7">
        <w:rPr>
          <w:sz w:val="22"/>
          <w:szCs w:val="22"/>
        </w:rPr>
        <w:t>adecuadamente</w:t>
      </w:r>
      <w:r w:rsidR="00100CEF">
        <w:rPr>
          <w:sz w:val="22"/>
          <w:szCs w:val="22"/>
        </w:rPr>
        <w:t xml:space="preserve"> </w:t>
      </w:r>
      <w:r w:rsidRPr="003E45B7">
        <w:rPr>
          <w:sz w:val="22"/>
          <w:szCs w:val="22"/>
        </w:rPr>
        <w:t>la</w:t>
      </w:r>
      <w:r w:rsidR="00100CEF">
        <w:rPr>
          <w:sz w:val="22"/>
          <w:szCs w:val="22"/>
        </w:rPr>
        <w:t xml:space="preserve"> </w:t>
      </w:r>
      <w:r w:rsidRPr="003E45B7">
        <w:rPr>
          <w:sz w:val="22"/>
          <w:szCs w:val="22"/>
        </w:rPr>
        <w:t>validez</w:t>
      </w:r>
      <w:r w:rsidR="00100CEF">
        <w:rPr>
          <w:sz w:val="22"/>
          <w:szCs w:val="22"/>
        </w:rPr>
        <w:t xml:space="preserve"> </w:t>
      </w:r>
      <w:r w:rsidRPr="003E45B7">
        <w:rPr>
          <w:sz w:val="22"/>
          <w:szCs w:val="22"/>
        </w:rPr>
        <w:t>científica</w:t>
      </w:r>
      <w:r w:rsidR="00100CEF">
        <w:rPr>
          <w:sz w:val="22"/>
          <w:szCs w:val="22"/>
        </w:rPr>
        <w:t xml:space="preserve"> </w:t>
      </w:r>
      <w:r w:rsidRPr="003E45B7">
        <w:rPr>
          <w:sz w:val="22"/>
          <w:szCs w:val="22"/>
        </w:rPr>
        <w:t>y</w:t>
      </w:r>
      <w:r w:rsidR="00100CEF">
        <w:rPr>
          <w:sz w:val="22"/>
          <w:szCs w:val="22"/>
        </w:rPr>
        <w:t xml:space="preserve"> </w:t>
      </w:r>
      <w:r w:rsidRPr="003E45B7">
        <w:rPr>
          <w:sz w:val="22"/>
          <w:szCs w:val="22"/>
        </w:rPr>
        <w:t>operativa</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la</w:t>
      </w:r>
      <w:r w:rsidR="00100CEF">
        <w:rPr>
          <w:sz w:val="22"/>
          <w:szCs w:val="22"/>
        </w:rPr>
        <w:t xml:space="preserve"> </w:t>
      </w:r>
      <w:r w:rsidR="00727CEC">
        <w:rPr>
          <w:sz w:val="22"/>
          <w:szCs w:val="22"/>
        </w:rPr>
        <w:t>“innovación</w:t>
      </w:r>
      <w:r w:rsidR="00100CEF">
        <w:rPr>
          <w:sz w:val="22"/>
          <w:szCs w:val="22"/>
        </w:rPr>
        <w:t xml:space="preserve"> </w:t>
      </w:r>
      <w:r w:rsidR="00727CEC">
        <w:rPr>
          <w:sz w:val="22"/>
          <w:szCs w:val="22"/>
        </w:rPr>
        <w:t>tecnológica”</w:t>
      </w:r>
      <w:r w:rsidR="00100CEF">
        <w:rPr>
          <w:sz w:val="22"/>
          <w:szCs w:val="22"/>
        </w:rPr>
        <w:t xml:space="preserve"> </w:t>
      </w:r>
      <w:r w:rsidRPr="003E45B7">
        <w:rPr>
          <w:sz w:val="22"/>
          <w:szCs w:val="22"/>
        </w:rPr>
        <w:t>desarrollada</w:t>
      </w:r>
      <w:r w:rsidR="00100CEF">
        <w:rPr>
          <w:sz w:val="22"/>
          <w:szCs w:val="22"/>
        </w:rPr>
        <w:t xml:space="preserve"> </w:t>
      </w:r>
      <w:r w:rsidR="0017609A">
        <w:rPr>
          <w:sz w:val="22"/>
          <w:szCs w:val="22"/>
        </w:rPr>
        <w:t>como</w:t>
      </w:r>
      <w:r w:rsidR="00100CEF">
        <w:rPr>
          <w:sz w:val="22"/>
          <w:szCs w:val="22"/>
        </w:rPr>
        <w:t xml:space="preserve"> </w:t>
      </w:r>
      <w:r w:rsidR="00F5767A">
        <w:rPr>
          <w:sz w:val="22"/>
          <w:szCs w:val="22"/>
        </w:rPr>
        <w:t>promesa</w:t>
      </w:r>
      <w:r w:rsidR="00100CEF">
        <w:rPr>
          <w:sz w:val="22"/>
          <w:szCs w:val="22"/>
        </w:rPr>
        <w:t xml:space="preserve"> </w:t>
      </w:r>
      <w:r w:rsidR="00F5767A">
        <w:rPr>
          <w:sz w:val="22"/>
          <w:szCs w:val="22"/>
        </w:rPr>
        <w:t>de</w:t>
      </w:r>
      <w:r w:rsidR="00100CEF">
        <w:rPr>
          <w:sz w:val="22"/>
          <w:szCs w:val="22"/>
        </w:rPr>
        <w:t xml:space="preserve"> </w:t>
      </w:r>
      <w:r w:rsidR="00F5767A">
        <w:rPr>
          <w:sz w:val="22"/>
          <w:szCs w:val="22"/>
        </w:rPr>
        <w:t>valor</w:t>
      </w:r>
      <w:r w:rsidR="00100CEF">
        <w:rPr>
          <w:sz w:val="22"/>
          <w:szCs w:val="22"/>
        </w:rPr>
        <w:t xml:space="preserve"> </w:t>
      </w:r>
      <w:r w:rsidR="00F5767A">
        <w:rPr>
          <w:sz w:val="22"/>
          <w:szCs w:val="22"/>
        </w:rPr>
        <w:t>de</w:t>
      </w:r>
      <w:r w:rsidR="00100CEF">
        <w:rPr>
          <w:sz w:val="22"/>
          <w:szCs w:val="22"/>
        </w:rPr>
        <w:t xml:space="preserve"> </w:t>
      </w:r>
      <w:r w:rsidR="00F5767A">
        <w:rPr>
          <w:sz w:val="22"/>
          <w:szCs w:val="22"/>
        </w:rPr>
        <w:t>la</w:t>
      </w:r>
      <w:r w:rsidR="00100CEF">
        <w:rPr>
          <w:sz w:val="22"/>
          <w:szCs w:val="22"/>
        </w:rPr>
        <w:t xml:space="preserve"> </w:t>
      </w:r>
      <w:r w:rsidR="00F959CB">
        <w:rPr>
          <w:sz w:val="22"/>
          <w:szCs w:val="22"/>
        </w:rPr>
        <w:t>compañía,</w:t>
      </w:r>
      <w:r w:rsidR="00100CEF">
        <w:rPr>
          <w:sz w:val="22"/>
          <w:szCs w:val="22"/>
        </w:rPr>
        <w:t xml:space="preserve"> </w:t>
      </w:r>
      <w:r w:rsidR="002A131C">
        <w:rPr>
          <w:sz w:val="22"/>
          <w:szCs w:val="22"/>
        </w:rPr>
        <w:t>pero</w:t>
      </w:r>
      <w:r w:rsidR="00100CEF">
        <w:rPr>
          <w:sz w:val="22"/>
          <w:szCs w:val="22"/>
        </w:rPr>
        <w:t xml:space="preserve"> </w:t>
      </w:r>
      <w:r w:rsidR="002A131C">
        <w:rPr>
          <w:sz w:val="22"/>
          <w:szCs w:val="22"/>
        </w:rPr>
        <w:t>otorgó</w:t>
      </w:r>
      <w:r w:rsidR="00100CEF">
        <w:rPr>
          <w:sz w:val="22"/>
          <w:szCs w:val="22"/>
        </w:rPr>
        <w:t xml:space="preserve"> </w:t>
      </w:r>
      <w:r w:rsidR="002A131C">
        <w:rPr>
          <w:sz w:val="22"/>
          <w:szCs w:val="22"/>
        </w:rPr>
        <w:t>con</w:t>
      </w:r>
      <w:r w:rsidR="00613C18">
        <w:rPr>
          <w:sz w:val="22"/>
          <w:szCs w:val="22"/>
        </w:rPr>
        <w:t>fia</w:t>
      </w:r>
      <w:r w:rsidR="00F959CB">
        <w:rPr>
          <w:sz w:val="22"/>
          <w:szCs w:val="22"/>
        </w:rPr>
        <w:t>bilidad</w:t>
      </w:r>
      <w:r w:rsidR="00100CEF">
        <w:rPr>
          <w:sz w:val="22"/>
          <w:szCs w:val="22"/>
        </w:rPr>
        <w:t xml:space="preserve"> </w:t>
      </w:r>
      <w:r w:rsidR="00F959CB">
        <w:rPr>
          <w:sz w:val="22"/>
          <w:szCs w:val="22"/>
        </w:rPr>
        <w:t>para</w:t>
      </w:r>
      <w:r w:rsidR="00100CEF">
        <w:rPr>
          <w:sz w:val="22"/>
          <w:szCs w:val="22"/>
        </w:rPr>
        <w:t xml:space="preserve"> </w:t>
      </w:r>
      <w:r w:rsidR="00F959CB">
        <w:rPr>
          <w:sz w:val="22"/>
          <w:szCs w:val="22"/>
        </w:rPr>
        <w:t>los</w:t>
      </w:r>
      <w:r w:rsidR="00100CEF">
        <w:rPr>
          <w:sz w:val="22"/>
          <w:szCs w:val="22"/>
        </w:rPr>
        <w:t xml:space="preserve"> </w:t>
      </w:r>
      <w:r w:rsidR="00F959CB">
        <w:rPr>
          <w:sz w:val="22"/>
          <w:szCs w:val="22"/>
        </w:rPr>
        <w:t>inversionistas</w:t>
      </w:r>
      <w:r w:rsidR="0017609A">
        <w:rPr>
          <w:sz w:val="22"/>
          <w:szCs w:val="22"/>
        </w:rPr>
        <w:t>.</w:t>
      </w:r>
      <w:r w:rsidR="00100CEF">
        <w:rPr>
          <w:sz w:val="22"/>
          <w:szCs w:val="22"/>
        </w:rPr>
        <w:t xml:space="preserve"> </w:t>
      </w:r>
      <w:r w:rsidR="00F959CB">
        <w:rPr>
          <w:sz w:val="22"/>
          <w:szCs w:val="22"/>
        </w:rPr>
        <w:t>La</w:t>
      </w:r>
      <w:r w:rsidR="00100CEF">
        <w:rPr>
          <w:sz w:val="22"/>
          <w:szCs w:val="22"/>
        </w:rPr>
        <w:t xml:space="preserve"> </w:t>
      </w:r>
      <w:r w:rsidRPr="003E45B7">
        <w:rPr>
          <w:sz w:val="22"/>
          <w:szCs w:val="22"/>
        </w:rPr>
        <w:t>combinación</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liderazgo</w:t>
      </w:r>
      <w:r w:rsidR="00100CEF">
        <w:rPr>
          <w:sz w:val="22"/>
          <w:szCs w:val="22"/>
        </w:rPr>
        <w:t xml:space="preserve"> </w:t>
      </w:r>
      <w:r w:rsidRPr="003E45B7">
        <w:rPr>
          <w:sz w:val="22"/>
          <w:szCs w:val="22"/>
        </w:rPr>
        <w:t>altamente</w:t>
      </w:r>
      <w:r w:rsidR="00100CEF">
        <w:rPr>
          <w:sz w:val="22"/>
          <w:szCs w:val="22"/>
        </w:rPr>
        <w:t xml:space="preserve"> </w:t>
      </w:r>
      <w:r w:rsidRPr="003E45B7">
        <w:rPr>
          <w:sz w:val="22"/>
          <w:szCs w:val="22"/>
        </w:rPr>
        <w:t>concentrado</w:t>
      </w:r>
      <w:r w:rsidR="00100CEF">
        <w:rPr>
          <w:sz w:val="22"/>
          <w:szCs w:val="22"/>
        </w:rPr>
        <w:t xml:space="preserve"> </w:t>
      </w:r>
      <w:r w:rsidRPr="003E45B7">
        <w:rPr>
          <w:sz w:val="22"/>
          <w:szCs w:val="22"/>
        </w:rPr>
        <w:t>y</w:t>
      </w:r>
      <w:r w:rsidR="00100CEF">
        <w:rPr>
          <w:sz w:val="22"/>
          <w:szCs w:val="22"/>
        </w:rPr>
        <w:t xml:space="preserve"> </w:t>
      </w:r>
      <w:r w:rsidRPr="003E45B7">
        <w:rPr>
          <w:sz w:val="22"/>
          <w:szCs w:val="22"/>
        </w:rPr>
        <w:t>supervisión</w:t>
      </w:r>
      <w:r w:rsidR="00100CEF">
        <w:rPr>
          <w:sz w:val="22"/>
          <w:szCs w:val="22"/>
        </w:rPr>
        <w:t xml:space="preserve"> </w:t>
      </w:r>
      <w:r w:rsidRPr="003E45B7">
        <w:rPr>
          <w:sz w:val="22"/>
          <w:szCs w:val="22"/>
        </w:rPr>
        <w:t>técnica</w:t>
      </w:r>
      <w:r w:rsidR="00100CEF">
        <w:rPr>
          <w:sz w:val="22"/>
          <w:szCs w:val="22"/>
        </w:rPr>
        <w:t xml:space="preserve"> </w:t>
      </w:r>
      <w:r w:rsidRPr="003E45B7">
        <w:rPr>
          <w:sz w:val="22"/>
          <w:szCs w:val="22"/>
        </w:rPr>
        <w:t>insuficiente</w:t>
      </w:r>
      <w:r w:rsidR="00100CEF">
        <w:rPr>
          <w:sz w:val="22"/>
          <w:szCs w:val="22"/>
        </w:rPr>
        <w:t xml:space="preserve"> </w:t>
      </w:r>
      <w:r w:rsidRPr="003E45B7">
        <w:rPr>
          <w:sz w:val="22"/>
          <w:szCs w:val="22"/>
        </w:rPr>
        <w:t>creó</w:t>
      </w:r>
      <w:r w:rsidR="00100CEF">
        <w:rPr>
          <w:sz w:val="22"/>
          <w:szCs w:val="22"/>
        </w:rPr>
        <w:t xml:space="preserve"> </w:t>
      </w:r>
      <w:r w:rsidR="0047020B">
        <w:rPr>
          <w:sz w:val="22"/>
          <w:szCs w:val="22"/>
        </w:rPr>
        <w:t>las</w:t>
      </w:r>
      <w:r w:rsidR="00100CEF">
        <w:rPr>
          <w:sz w:val="22"/>
          <w:szCs w:val="22"/>
        </w:rPr>
        <w:t xml:space="preserve"> </w:t>
      </w:r>
      <w:r w:rsidRPr="003E45B7">
        <w:rPr>
          <w:sz w:val="22"/>
          <w:szCs w:val="22"/>
        </w:rPr>
        <w:t>condiciones</w:t>
      </w:r>
      <w:r w:rsidR="00100CEF">
        <w:rPr>
          <w:sz w:val="22"/>
          <w:szCs w:val="22"/>
        </w:rPr>
        <w:t xml:space="preserve"> </w:t>
      </w:r>
      <w:r w:rsidRPr="003E45B7">
        <w:rPr>
          <w:sz w:val="22"/>
          <w:szCs w:val="22"/>
        </w:rPr>
        <w:t>estructurales</w:t>
      </w:r>
      <w:r w:rsidR="00100CEF">
        <w:rPr>
          <w:sz w:val="22"/>
          <w:szCs w:val="22"/>
        </w:rPr>
        <w:t xml:space="preserve"> </w:t>
      </w:r>
      <w:r w:rsidRPr="003E45B7">
        <w:rPr>
          <w:sz w:val="22"/>
          <w:szCs w:val="22"/>
        </w:rPr>
        <w:t>propicias</w:t>
      </w:r>
      <w:r w:rsidR="00100CEF">
        <w:rPr>
          <w:sz w:val="22"/>
          <w:szCs w:val="22"/>
        </w:rPr>
        <w:t xml:space="preserve"> </w:t>
      </w:r>
      <w:r w:rsidRPr="003E45B7">
        <w:rPr>
          <w:sz w:val="22"/>
          <w:szCs w:val="22"/>
        </w:rPr>
        <w:t>para</w:t>
      </w:r>
      <w:r w:rsidR="00100CEF">
        <w:rPr>
          <w:sz w:val="22"/>
          <w:szCs w:val="22"/>
        </w:rPr>
        <w:t xml:space="preserve"> </w:t>
      </w:r>
      <w:r w:rsidRPr="003E45B7">
        <w:rPr>
          <w:sz w:val="22"/>
          <w:szCs w:val="22"/>
        </w:rPr>
        <w:t>la</w:t>
      </w:r>
      <w:r w:rsidR="00100CEF">
        <w:rPr>
          <w:sz w:val="22"/>
          <w:szCs w:val="22"/>
        </w:rPr>
        <w:t xml:space="preserve"> </w:t>
      </w:r>
      <w:r w:rsidRPr="003E45B7">
        <w:rPr>
          <w:sz w:val="22"/>
          <w:szCs w:val="22"/>
        </w:rPr>
        <w:t>falta</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control</w:t>
      </w:r>
      <w:r w:rsidR="00100CEF">
        <w:rPr>
          <w:sz w:val="22"/>
          <w:szCs w:val="22"/>
        </w:rPr>
        <w:t xml:space="preserve"> </w:t>
      </w:r>
      <w:r w:rsidRPr="003E45B7">
        <w:rPr>
          <w:sz w:val="22"/>
          <w:szCs w:val="22"/>
        </w:rPr>
        <w:t>interno</w:t>
      </w:r>
      <w:r w:rsidR="00100CEF">
        <w:rPr>
          <w:sz w:val="22"/>
          <w:szCs w:val="22"/>
        </w:rPr>
        <w:t xml:space="preserve"> </w:t>
      </w:r>
      <w:r w:rsidRPr="003E45B7">
        <w:rPr>
          <w:sz w:val="22"/>
          <w:szCs w:val="22"/>
        </w:rPr>
        <w:t>y</w:t>
      </w:r>
      <w:r w:rsidR="00100CEF">
        <w:rPr>
          <w:sz w:val="22"/>
          <w:szCs w:val="22"/>
        </w:rPr>
        <w:t xml:space="preserve"> </w:t>
      </w:r>
      <w:r w:rsidRPr="003E45B7">
        <w:rPr>
          <w:sz w:val="22"/>
          <w:szCs w:val="22"/>
        </w:rPr>
        <w:t>la</w:t>
      </w:r>
      <w:r w:rsidR="00100CEF">
        <w:rPr>
          <w:sz w:val="22"/>
          <w:szCs w:val="22"/>
        </w:rPr>
        <w:t xml:space="preserve"> </w:t>
      </w:r>
      <w:r w:rsidRPr="003E45B7">
        <w:rPr>
          <w:sz w:val="22"/>
          <w:szCs w:val="22"/>
        </w:rPr>
        <w:t>toma</w:t>
      </w:r>
      <w:r w:rsidR="00100CEF">
        <w:rPr>
          <w:sz w:val="22"/>
          <w:szCs w:val="22"/>
        </w:rPr>
        <w:t xml:space="preserve"> </w:t>
      </w:r>
      <w:r w:rsidRPr="003E45B7">
        <w:rPr>
          <w:sz w:val="22"/>
          <w:szCs w:val="22"/>
        </w:rPr>
        <w:t>de</w:t>
      </w:r>
      <w:r w:rsidR="00100CEF">
        <w:rPr>
          <w:sz w:val="22"/>
          <w:szCs w:val="22"/>
        </w:rPr>
        <w:t xml:space="preserve"> </w:t>
      </w:r>
      <w:r w:rsidRPr="003E45B7">
        <w:rPr>
          <w:sz w:val="22"/>
          <w:szCs w:val="22"/>
        </w:rPr>
        <w:t>decisiones</w:t>
      </w:r>
      <w:r w:rsidR="00100CEF">
        <w:rPr>
          <w:sz w:val="22"/>
          <w:szCs w:val="22"/>
        </w:rPr>
        <w:t xml:space="preserve"> </w:t>
      </w:r>
      <w:r w:rsidRPr="003E45B7">
        <w:rPr>
          <w:sz w:val="22"/>
          <w:szCs w:val="22"/>
        </w:rPr>
        <w:t>sin</w:t>
      </w:r>
      <w:r w:rsidR="00100CEF">
        <w:rPr>
          <w:sz w:val="22"/>
          <w:szCs w:val="22"/>
        </w:rPr>
        <w:t xml:space="preserve"> </w:t>
      </w:r>
      <w:r w:rsidRPr="003E45B7">
        <w:rPr>
          <w:sz w:val="22"/>
          <w:szCs w:val="22"/>
        </w:rPr>
        <w:t>escrutinio</w:t>
      </w:r>
      <w:r w:rsidR="00100CEF">
        <w:rPr>
          <w:sz w:val="22"/>
          <w:szCs w:val="22"/>
        </w:rPr>
        <w:t xml:space="preserve"> </w:t>
      </w:r>
      <w:r w:rsidRPr="003E45B7">
        <w:rPr>
          <w:sz w:val="22"/>
          <w:szCs w:val="22"/>
        </w:rPr>
        <w:t>efectivo</w:t>
      </w:r>
      <w:r w:rsidR="00100CEF">
        <w:rPr>
          <w:sz w:val="22"/>
          <w:szCs w:val="22"/>
        </w:rPr>
        <w:t xml:space="preserve"> </w:t>
      </w:r>
      <w:r w:rsidR="0047020B">
        <w:rPr>
          <w:sz w:val="22"/>
          <w:szCs w:val="22"/>
        </w:rPr>
        <w:t>que</w:t>
      </w:r>
      <w:r w:rsidR="00100CEF">
        <w:rPr>
          <w:sz w:val="22"/>
          <w:szCs w:val="22"/>
        </w:rPr>
        <w:t xml:space="preserve"> </w:t>
      </w:r>
      <w:r w:rsidR="0047020B">
        <w:rPr>
          <w:sz w:val="22"/>
          <w:szCs w:val="22"/>
        </w:rPr>
        <w:t>posteriormente</w:t>
      </w:r>
      <w:r w:rsidR="00100CEF">
        <w:rPr>
          <w:sz w:val="22"/>
          <w:szCs w:val="22"/>
        </w:rPr>
        <w:t xml:space="preserve"> </w:t>
      </w:r>
      <w:r w:rsidR="0047020B">
        <w:rPr>
          <w:sz w:val="22"/>
          <w:szCs w:val="22"/>
        </w:rPr>
        <w:t>desencadenó</w:t>
      </w:r>
      <w:r w:rsidR="00100CEF">
        <w:rPr>
          <w:sz w:val="22"/>
          <w:szCs w:val="22"/>
        </w:rPr>
        <w:t xml:space="preserve"> </w:t>
      </w:r>
      <w:r w:rsidR="0047020B">
        <w:rPr>
          <w:sz w:val="22"/>
          <w:szCs w:val="22"/>
        </w:rPr>
        <w:t>en</w:t>
      </w:r>
      <w:r w:rsidR="00100CEF">
        <w:rPr>
          <w:sz w:val="22"/>
          <w:szCs w:val="22"/>
        </w:rPr>
        <w:t xml:space="preserve"> </w:t>
      </w:r>
      <w:r w:rsidR="00BA7683">
        <w:rPr>
          <w:sz w:val="22"/>
          <w:szCs w:val="22"/>
        </w:rPr>
        <w:t>la</w:t>
      </w:r>
      <w:r w:rsidR="00100CEF">
        <w:rPr>
          <w:sz w:val="22"/>
          <w:szCs w:val="22"/>
        </w:rPr>
        <w:t xml:space="preserve"> </w:t>
      </w:r>
      <w:r w:rsidR="00BA7683">
        <w:rPr>
          <w:sz w:val="22"/>
          <w:szCs w:val="22"/>
        </w:rPr>
        <w:t>afectación</w:t>
      </w:r>
      <w:r w:rsidR="00100CEF">
        <w:rPr>
          <w:sz w:val="22"/>
          <w:szCs w:val="22"/>
        </w:rPr>
        <w:t xml:space="preserve"> </w:t>
      </w:r>
      <w:r w:rsidR="00BA7683">
        <w:rPr>
          <w:sz w:val="22"/>
          <w:szCs w:val="22"/>
        </w:rPr>
        <w:t>de</w:t>
      </w:r>
      <w:r w:rsidR="00100CEF">
        <w:rPr>
          <w:sz w:val="22"/>
          <w:szCs w:val="22"/>
        </w:rPr>
        <w:t xml:space="preserve"> </w:t>
      </w:r>
      <w:r w:rsidR="00BA7683">
        <w:rPr>
          <w:sz w:val="22"/>
          <w:szCs w:val="22"/>
        </w:rPr>
        <w:t>grupos</w:t>
      </w:r>
      <w:r w:rsidR="00100CEF">
        <w:rPr>
          <w:sz w:val="22"/>
          <w:szCs w:val="22"/>
        </w:rPr>
        <w:t xml:space="preserve"> </w:t>
      </w:r>
      <w:r w:rsidR="00BA7683">
        <w:rPr>
          <w:sz w:val="22"/>
          <w:szCs w:val="22"/>
        </w:rPr>
        <w:t>de</w:t>
      </w:r>
      <w:r w:rsidR="00100CEF">
        <w:rPr>
          <w:sz w:val="22"/>
          <w:szCs w:val="22"/>
        </w:rPr>
        <w:t xml:space="preserve"> </w:t>
      </w:r>
      <w:r w:rsidR="00BA7683">
        <w:rPr>
          <w:sz w:val="22"/>
          <w:szCs w:val="22"/>
        </w:rPr>
        <w:t>interés</w:t>
      </w:r>
      <w:r w:rsidR="00100CEF">
        <w:rPr>
          <w:sz w:val="22"/>
          <w:szCs w:val="22"/>
        </w:rPr>
        <w:t xml:space="preserve"> </w:t>
      </w:r>
      <w:r w:rsidR="00BA7683">
        <w:rPr>
          <w:sz w:val="22"/>
          <w:szCs w:val="22"/>
        </w:rPr>
        <w:t>como</w:t>
      </w:r>
      <w:r w:rsidR="00100CEF">
        <w:rPr>
          <w:sz w:val="22"/>
          <w:szCs w:val="22"/>
        </w:rPr>
        <w:t xml:space="preserve"> </w:t>
      </w:r>
      <w:r w:rsidR="00BA7683">
        <w:rPr>
          <w:sz w:val="22"/>
          <w:szCs w:val="22"/>
        </w:rPr>
        <w:t>inversionistas,</w:t>
      </w:r>
      <w:r w:rsidR="00100CEF">
        <w:rPr>
          <w:sz w:val="22"/>
          <w:szCs w:val="22"/>
        </w:rPr>
        <w:t xml:space="preserve"> </w:t>
      </w:r>
      <w:r w:rsidR="00BA7683">
        <w:rPr>
          <w:sz w:val="22"/>
          <w:szCs w:val="22"/>
        </w:rPr>
        <w:t>pacientes</w:t>
      </w:r>
      <w:r w:rsidR="00100CEF">
        <w:rPr>
          <w:sz w:val="22"/>
          <w:szCs w:val="22"/>
        </w:rPr>
        <w:t xml:space="preserve"> </w:t>
      </w:r>
      <w:r w:rsidR="00BA7683">
        <w:rPr>
          <w:sz w:val="22"/>
          <w:szCs w:val="22"/>
        </w:rPr>
        <w:t>y</w:t>
      </w:r>
      <w:r w:rsidR="00100CEF">
        <w:rPr>
          <w:sz w:val="22"/>
          <w:szCs w:val="22"/>
        </w:rPr>
        <w:t xml:space="preserve"> </w:t>
      </w:r>
      <w:r w:rsidR="00BA7683">
        <w:rPr>
          <w:sz w:val="22"/>
          <w:szCs w:val="22"/>
        </w:rPr>
        <w:t>agentes</w:t>
      </w:r>
      <w:r w:rsidR="00100CEF">
        <w:rPr>
          <w:sz w:val="22"/>
          <w:szCs w:val="22"/>
        </w:rPr>
        <w:t xml:space="preserve"> </w:t>
      </w:r>
      <w:r w:rsidR="00BA7683">
        <w:rPr>
          <w:sz w:val="22"/>
          <w:szCs w:val="22"/>
        </w:rPr>
        <w:t>reguladores</w:t>
      </w:r>
      <w:r w:rsidR="00100CEF">
        <w:rPr>
          <w:sz w:val="22"/>
          <w:szCs w:val="22"/>
        </w:rPr>
        <w:t xml:space="preserve"> </w:t>
      </w:r>
      <w:r w:rsidR="00C91379">
        <w:rPr>
          <w:sz w:val="22"/>
          <w:szCs w:val="22"/>
        </w:rPr>
        <w:t>que</w:t>
      </w:r>
      <w:r w:rsidR="00100CEF">
        <w:rPr>
          <w:sz w:val="22"/>
          <w:szCs w:val="22"/>
        </w:rPr>
        <w:t xml:space="preserve"> </w:t>
      </w:r>
      <w:r w:rsidR="00C91379">
        <w:rPr>
          <w:sz w:val="22"/>
          <w:szCs w:val="22"/>
        </w:rPr>
        <w:t>no</w:t>
      </w:r>
      <w:r w:rsidR="00100CEF">
        <w:rPr>
          <w:sz w:val="22"/>
          <w:szCs w:val="22"/>
        </w:rPr>
        <w:t xml:space="preserve"> </w:t>
      </w:r>
      <w:r w:rsidR="00C91379">
        <w:rPr>
          <w:sz w:val="22"/>
          <w:szCs w:val="22"/>
        </w:rPr>
        <w:t>implementaron</w:t>
      </w:r>
      <w:r w:rsidR="00100CEF">
        <w:rPr>
          <w:sz w:val="22"/>
          <w:szCs w:val="22"/>
        </w:rPr>
        <w:t xml:space="preserve"> </w:t>
      </w:r>
      <w:r w:rsidR="00C91379">
        <w:rPr>
          <w:sz w:val="22"/>
          <w:szCs w:val="22"/>
        </w:rPr>
        <w:t>las</w:t>
      </w:r>
      <w:r w:rsidR="00100CEF">
        <w:rPr>
          <w:sz w:val="22"/>
          <w:szCs w:val="22"/>
        </w:rPr>
        <w:t xml:space="preserve"> </w:t>
      </w:r>
      <w:r w:rsidR="00C91379">
        <w:rPr>
          <w:sz w:val="22"/>
          <w:szCs w:val="22"/>
        </w:rPr>
        <w:t>acciones</w:t>
      </w:r>
      <w:r w:rsidR="00100CEF">
        <w:rPr>
          <w:sz w:val="22"/>
          <w:szCs w:val="22"/>
        </w:rPr>
        <w:t xml:space="preserve"> </w:t>
      </w:r>
      <w:r w:rsidR="00C91379">
        <w:rPr>
          <w:sz w:val="22"/>
          <w:szCs w:val="22"/>
        </w:rPr>
        <w:t>oportunas</w:t>
      </w:r>
      <w:r w:rsidR="00100CEF">
        <w:rPr>
          <w:sz w:val="22"/>
          <w:szCs w:val="22"/>
        </w:rPr>
        <w:t xml:space="preserve"> </w:t>
      </w:r>
      <w:r w:rsidR="00C91379">
        <w:rPr>
          <w:sz w:val="22"/>
          <w:szCs w:val="22"/>
        </w:rPr>
        <w:t>para</w:t>
      </w:r>
      <w:r w:rsidR="00100CEF">
        <w:rPr>
          <w:sz w:val="22"/>
          <w:szCs w:val="22"/>
        </w:rPr>
        <w:t xml:space="preserve"> </w:t>
      </w:r>
      <w:r w:rsidR="00724737">
        <w:rPr>
          <w:sz w:val="22"/>
          <w:szCs w:val="22"/>
        </w:rPr>
        <w:t>evitar</w:t>
      </w:r>
      <w:r w:rsidR="00100CEF">
        <w:rPr>
          <w:sz w:val="22"/>
          <w:szCs w:val="22"/>
        </w:rPr>
        <w:t xml:space="preserve"> </w:t>
      </w:r>
      <w:r w:rsidR="00724737">
        <w:rPr>
          <w:sz w:val="22"/>
          <w:szCs w:val="22"/>
        </w:rPr>
        <w:t>el</w:t>
      </w:r>
      <w:r w:rsidR="00100CEF">
        <w:rPr>
          <w:sz w:val="22"/>
          <w:szCs w:val="22"/>
        </w:rPr>
        <w:t xml:space="preserve"> </w:t>
      </w:r>
      <w:r w:rsidR="00724737">
        <w:rPr>
          <w:sz w:val="22"/>
          <w:szCs w:val="22"/>
        </w:rPr>
        <w:t>fraude</w:t>
      </w:r>
      <w:r w:rsidRPr="003E45B7">
        <w:rPr>
          <w:sz w:val="22"/>
          <w:szCs w:val="22"/>
        </w:rPr>
        <w:t>.</w:t>
      </w:r>
    </w:p>
    <w:p w:rsidR="0077188D" w:rsidP="0099281B" w:rsidRDefault="00BD7294" w14:paraId="46C2490E" w14:textId="34E68EDD">
      <w:pPr>
        <w:spacing w:line="276" w:lineRule="auto"/>
        <w:jc w:val="both"/>
        <w:rPr>
          <w:sz w:val="22"/>
          <w:szCs w:val="22"/>
        </w:rPr>
      </w:pPr>
      <w:r w:rsidRPr="00393222">
        <w:rPr>
          <w:sz w:val="22"/>
          <w:szCs w:val="22"/>
        </w:rPr>
        <w:t xml:space="preserve">La cultura organizacional interna de </w:t>
      </w:r>
      <w:proofErr w:type="spellStart"/>
      <w:r w:rsidRPr="00393222">
        <w:rPr>
          <w:sz w:val="22"/>
          <w:szCs w:val="22"/>
        </w:rPr>
        <w:t>Theranos</w:t>
      </w:r>
      <w:proofErr w:type="spellEnd"/>
      <w:r w:rsidRPr="00393222">
        <w:rPr>
          <w:sz w:val="22"/>
          <w:szCs w:val="22"/>
        </w:rPr>
        <w:t xml:space="preserve">, liderada por Holmes y el director de operaciones Sunny Balwani, fue descrita como secreta y hostil hacia quienes cuestionaban las afirmaciones </w:t>
      </w:r>
      <w:r w:rsidRPr="00393222">
        <w:rPr>
          <w:sz w:val="22"/>
          <w:szCs w:val="22"/>
        </w:rPr>
        <w:lastRenderedPageBreak/>
        <w:t>de la empresa (</w:t>
      </w:r>
      <w:proofErr w:type="spellStart"/>
      <w:r w:rsidRPr="00393222">
        <w:rPr>
          <w:sz w:val="22"/>
          <w:szCs w:val="22"/>
        </w:rPr>
        <w:t>Tourish</w:t>
      </w:r>
      <w:proofErr w:type="spellEnd"/>
      <w:r w:rsidRPr="00393222">
        <w:rPr>
          <w:sz w:val="22"/>
          <w:szCs w:val="22"/>
        </w:rPr>
        <w:t xml:space="preserve"> y Willmott, 2023)</w:t>
      </w:r>
      <w:r w:rsidR="005E33FA">
        <w:rPr>
          <w:sz w:val="22"/>
          <w:szCs w:val="22"/>
        </w:rPr>
        <w:t xml:space="preserve">. </w:t>
      </w:r>
      <w:r w:rsidR="00003B2E">
        <w:rPr>
          <w:sz w:val="22"/>
          <w:szCs w:val="22"/>
        </w:rPr>
        <w:t>Su</w:t>
      </w:r>
      <w:r w:rsidRPr="00843B99" w:rsidR="00843B99">
        <w:rPr>
          <w:sz w:val="22"/>
          <w:szCs w:val="22"/>
        </w:rPr>
        <w:t xml:space="preserve"> cultura corporativa </w:t>
      </w:r>
      <w:r w:rsidR="00003B2E">
        <w:rPr>
          <w:sz w:val="22"/>
          <w:szCs w:val="22"/>
        </w:rPr>
        <w:t xml:space="preserve">era </w:t>
      </w:r>
      <w:r w:rsidRPr="00843B99" w:rsidR="00843B99">
        <w:rPr>
          <w:sz w:val="22"/>
          <w:szCs w:val="22"/>
        </w:rPr>
        <w:t xml:space="preserve">tóxica, impulsada por el miedo y el secretismo, </w:t>
      </w:r>
      <w:r w:rsidR="00003B2E">
        <w:rPr>
          <w:sz w:val="22"/>
          <w:szCs w:val="22"/>
        </w:rPr>
        <w:t xml:space="preserve">que obligó </w:t>
      </w:r>
      <w:r w:rsidRPr="00843B99" w:rsidR="00843B99">
        <w:rPr>
          <w:sz w:val="22"/>
          <w:szCs w:val="22"/>
        </w:rPr>
        <w:t xml:space="preserve">a los empleados a enfrentar dilemas éticos en los que </w:t>
      </w:r>
      <w:r w:rsidR="003E2931">
        <w:rPr>
          <w:sz w:val="22"/>
          <w:szCs w:val="22"/>
        </w:rPr>
        <w:t>tenían que</w:t>
      </w:r>
      <w:r w:rsidRPr="00843B99" w:rsidR="00843B99">
        <w:rPr>
          <w:sz w:val="22"/>
          <w:szCs w:val="22"/>
        </w:rPr>
        <w:t xml:space="preserve"> elegir entre su integridad personal y la seguridad de su empleo. El uso de acuerdos de confidencialidad y tácticas de intimidación por parte del liderazgo de </w:t>
      </w:r>
      <w:proofErr w:type="spellStart"/>
      <w:r w:rsidRPr="00843B99" w:rsidR="00843B99">
        <w:rPr>
          <w:sz w:val="22"/>
          <w:szCs w:val="22"/>
        </w:rPr>
        <w:t>Theranos</w:t>
      </w:r>
      <w:proofErr w:type="spellEnd"/>
      <w:r w:rsidRPr="00843B99" w:rsidR="00843B99">
        <w:rPr>
          <w:sz w:val="22"/>
          <w:szCs w:val="22"/>
        </w:rPr>
        <w:t xml:space="preserve"> para suprimir </w:t>
      </w:r>
      <w:r w:rsidR="00040C6E">
        <w:rPr>
          <w:sz w:val="22"/>
          <w:szCs w:val="22"/>
        </w:rPr>
        <w:t xml:space="preserve">las discrepancias internas </w:t>
      </w:r>
      <w:r w:rsidRPr="00843B99" w:rsidR="00843B99">
        <w:rPr>
          <w:sz w:val="22"/>
          <w:szCs w:val="22"/>
        </w:rPr>
        <w:t>resalta aún más las fallas éticas de la dirección de la empresa (Bratt, 2022).</w:t>
      </w:r>
    </w:p>
    <w:p w:rsidR="00ED3DA3" w:rsidP="0099281B" w:rsidRDefault="00972309" w14:paraId="36103AA4" w14:textId="7EA25B47">
      <w:pPr>
        <w:spacing w:line="276" w:lineRule="auto"/>
        <w:jc w:val="both"/>
        <w:rPr>
          <w:sz w:val="22"/>
          <w:szCs w:val="22"/>
        </w:rPr>
      </w:pPr>
      <w:proofErr w:type="spellStart"/>
      <w:r w:rsidRPr="00972309">
        <w:rPr>
          <w:sz w:val="22"/>
          <w:szCs w:val="22"/>
        </w:rPr>
        <w:t>Theranos</w:t>
      </w:r>
      <w:proofErr w:type="spellEnd"/>
      <w:r w:rsidRPr="00972309">
        <w:rPr>
          <w:sz w:val="22"/>
          <w:szCs w:val="22"/>
        </w:rPr>
        <w:t xml:space="preserve"> estuvo impulsada por el ethos de la cultura de Silicon Valley conocida como </w:t>
      </w:r>
      <w:r w:rsidRPr="00604ADA">
        <w:rPr>
          <w:sz w:val="22"/>
          <w:szCs w:val="22"/>
        </w:rPr>
        <w:t xml:space="preserve">“Fake </w:t>
      </w:r>
      <w:proofErr w:type="spellStart"/>
      <w:r w:rsidRPr="00604ADA">
        <w:rPr>
          <w:sz w:val="22"/>
          <w:szCs w:val="22"/>
        </w:rPr>
        <w:t>it</w:t>
      </w:r>
      <w:proofErr w:type="spellEnd"/>
      <w:r w:rsidRPr="00604ADA">
        <w:rPr>
          <w:sz w:val="22"/>
          <w:szCs w:val="22"/>
        </w:rPr>
        <w:t xml:space="preserve"> </w:t>
      </w:r>
      <w:proofErr w:type="spellStart"/>
      <w:r w:rsidRPr="00604ADA">
        <w:rPr>
          <w:sz w:val="22"/>
          <w:szCs w:val="22"/>
        </w:rPr>
        <w:t>till</w:t>
      </w:r>
      <w:proofErr w:type="spellEnd"/>
      <w:r w:rsidRPr="00604ADA">
        <w:rPr>
          <w:sz w:val="22"/>
          <w:szCs w:val="22"/>
        </w:rPr>
        <w:t xml:space="preserve"> </w:t>
      </w:r>
      <w:proofErr w:type="spellStart"/>
      <w:r w:rsidRPr="00604ADA">
        <w:rPr>
          <w:sz w:val="22"/>
          <w:szCs w:val="22"/>
        </w:rPr>
        <w:t>you</w:t>
      </w:r>
      <w:proofErr w:type="spellEnd"/>
      <w:r w:rsidRPr="00604ADA">
        <w:rPr>
          <w:sz w:val="22"/>
          <w:szCs w:val="22"/>
        </w:rPr>
        <w:t xml:space="preserve"> </w:t>
      </w:r>
      <w:proofErr w:type="spellStart"/>
      <w:r w:rsidRPr="00604ADA">
        <w:rPr>
          <w:sz w:val="22"/>
          <w:szCs w:val="22"/>
        </w:rPr>
        <w:t>make</w:t>
      </w:r>
      <w:proofErr w:type="spellEnd"/>
      <w:r w:rsidRPr="00604ADA">
        <w:rPr>
          <w:sz w:val="22"/>
          <w:szCs w:val="22"/>
        </w:rPr>
        <w:t xml:space="preserve"> </w:t>
      </w:r>
      <w:proofErr w:type="spellStart"/>
      <w:r w:rsidRPr="00604ADA">
        <w:rPr>
          <w:sz w:val="22"/>
          <w:szCs w:val="22"/>
        </w:rPr>
        <w:t>it</w:t>
      </w:r>
      <w:proofErr w:type="spellEnd"/>
      <w:r w:rsidRPr="00604ADA">
        <w:rPr>
          <w:sz w:val="22"/>
          <w:szCs w:val="22"/>
        </w:rPr>
        <w:t>”</w:t>
      </w:r>
      <w:r w:rsidRPr="00972309">
        <w:rPr>
          <w:sz w:val="22"/>
          <w:szCs w:val="22"/>
        </w:rPr>
        <w:t xml:space="preserve"> (finge hasta lograrlo), donde se alienta a las empresas a innovar rápidamente y a ofrecer productos transformadores incluso cuando la tecnología subyacente aún no está completamente desarrollada (Mcginn, 2022). Sin embargo, aunque este enfoque puede ser tolerado en </w:t>
      </w:r>
      <w:r w:rsidR="009E456E">
        <w:rPr>
          <w:sz w:val="22"/>
          <w:szCs w:val="22"/>
        </w:rPr>
        <w:t xml:space="preserve">la </w:t>
      </w:r>
      <w:r w:rsidRPr="00972309">
        <w:rPr>
          <w:sz w:val="22"/>
          <w:szCs w:val="22"/>
        </w:rPr>
        <w:t>industria</w:t>
      </w:r>
      <w:r w:rsidR="009E456E">
        <w:rPr>
          <w:sz w:val="22"/>
          <w:szCs w:val="22"/>
        </w:rPr>
        <w:t xml:space="preserve"> de </w:t>
      </w:r>
      <w:r w:rsidRPr="00972309">
        <w:rPr>
          <w:sz w:val="22"/>
          <w:szCs w:val="22"/>
        </w:rPr>
        <w:t xml:space="preserve">desarrollo de software, su aplicación en el ámbito de la salud resulta éticamente problemática </w:t>
      </w:r>
      <w:r w:rsidR="009E456E">
        <w:rPr>
          <w:sz w:val="22"/>
          <w:szCs w:val="22"/>
        </w:rPr>
        <w:t xml:space="preserve">y altamente riesgosa </w:t>
      </w:r>
      <w:r w:rsidRPr="00972309">
        <w:rPr>
          <w:sz w:val="22"/>
          <w:szCs w:val="22"/>
        </w:rPr>
        <w:t xml:space="preserve">debido a </w:t>
      </w:r>
      <w:r w:rsidR="009E456E">
        <w:rPr>
          <w:sz w:val="22"/>
          <w:szCs w:val="22"/>
        </w:rPr>
        <w:t xml:space="preserve">que </w:t>
      </w:r>
      <w:r w:rsidRPr="00972309">
        <w:rPr>
          <w:sz w:val="22"/>
          <w:szCs w:val="22"/>
        </w:rPr>
        <w:t xml:space="preserve">su impacto directo </w:t>
      </w:r>
      <w:r w:rsidR="009E456E">
        <w:rPr>
          <w:sz w:val="22"/>
          <w:szCs w:val="22"/>
        </w:rPr>
        <w:t xml:space="preserve">afecta de manera significativa la vida </w:t>
      </w:r>
      <w:r w:rsidRPr="00972309">
        <w:rPr>
          <w:sz w:val="22"/>
          <w:szCs w:val="22"/>
        </w:rPr>
        <w:t>humana</w:t>
      </w:r>
      <w:r w:rsidR="009E456E">
        <w:rPr>
          <w:sz w:val="22"/>
          <w:szCs w:val="22"/>
        </w:rPr>
        <w:t xml:space="preserve"> (</w:t>
      </w:r>
      <w:proofErr w:type="spellStart"/>
      <w:r w:rsidR="005A06DE">
        <w:rPr>
          <w:sz w:val="22"/>
          <w:szCs w:val="22"/>
        </w:rPr>
        <w:t>Cambaza</w:t>
      </w:r>
      <w:proofErr w:type="spellEnd"/>
      <w:r w:rsidR="005A06DE">
        <w:rPr>
          <w:sz w:val="22"/>
          <w:szCs w:val="22"/>
        </w:rPr>
        <w:t>, 2024).</w:t>
      </w:r>
    </w:p>
    <w:p w:rsidR="0077188D" w:rsidP="0099281B" w:rsidRDefault="00C474CA" w14:paraId="1F33B72A" w14:textId="6105A365">
      <w:pPr>
        <w:spacing w:line="276" w:lineRule="auto"/>
        <w:jc w:val="both"/>
        <w:rPr>
          <w:sz w:val="22"/>
          <w:szCs w:val="22"/>
        </w:rPr>
      </w:pPr>
      <w:r w:rsidRPr="00C474CA">
        <w:rPr>
          <w:sz w:val="22"/>
          <w:szCs w:val="22"/>
        </w:rPr>
        <w:t xml:space="preserve">El fracaso de </w:t>
      </w:r>
      <w:proofErr w:type="spellStart"/>
      <w:r w:rsidRPr="00C474CA">
        <w:rPr>
          <w:sz w:val="22"/>
          <w:szCs w:val="22"/>
        </w:rPr>
        <w:t>Theranos</w:t>
      </w:r>
      <w:proofErr w:type="spellEnd"/>
      <w:r w:rsidRPr="00C474CA">
        <w:rPr>
          <w:sz w:val="22"/>
          <w:szCs w:val="22"/>
        </w:rPr>
        <w:t xml:space="preserve"> causó un daño considerable a múltiples partes interesadas. Los pacientes que dependían de resultados de pruebas inexactos fueron puestos en riesgo: algunos recibieron falsos positivos, mientras que otros fueron falsamente tranquilizados sobre su estado de salud (Das y Drolet, 2022). Esto afectó vidas individuales y generó desconfianza en el diagnóstico médico y en la innovación tecnológica. El engaño de Holmes y </w:t>
      </w:r>
      <w:proofErr w:type="spellStart"/>
      <w:r w:rsidRPr="00C474CA">
        <w:rPr>
          <w:sz w:val="22"/>
          <w:szCs w:val="22"/>
        </w:rPr>
        <w:t>Balwani</w:t>
      </w:r>
      <w:proofErr w:type="spellEnd"/>
      <w:r w:rsidRPr="00C474CA">
        <w:rPr>
          <w:sz w:val="22"/>
          <w:szCs w:val="22"/>
        </w:rPr>
        <w:t xml:space="preserve"> comprometió la integridad del sistema sanitario, generando un escepticismo generalizado sobre los avances tecnológicos en diagnóstico, particularmente en las innovaciones de pruebas en el punto de atención (Jeske, 2020).</w:t>
      </w:r>
    </w:p>
    <w:p w:rsidR="006C595A" w:rsidP="0099281B" w:rsidRDefault="00B21E46" w14:paraId="58C422C0" w14:textId="77777777">
      <w:pPr>
        <w:spacing w:line="276" w:lineRule="auto"/>
        <w:jc w:val="both"/>
        <w:rPr>
          <w:sz w:val="22"/>
          <w:szCs w:val="22"/>
        </w:rPr>
      </w:pPr>
      <w:r w:rsidRPr="00B21E46">
        <w:rPr>
          <w:sz w:val="22"/>
          <w:szCs w:val="22"/>
        </w:rPr>
        <w:t xml:space="preserve">En </w:t>
      </w:r>
      <w:r>
        <w:rPr>
          <w:sz w:val="22"/>
          <w:szCs w:val="22"/>
        </w:rPr>
        <w:t xml:space="preserve">el estudio del caso desarrollado por </w:t>
      </w:r>
      <w:proofErr w:type="spellStart"/>
      <w:r>
        <w:rPr>
          <w:sz w:val="22"/>
          <w:szCs w:val="22"/>
        </w:rPr>
        <w:t>Cam</w:t>
      </w:r>
      <w:r w:rsidR="007D05C9">
        <w:rPr>
          <w:sz w:val="22"/>
          <w:szCs w:val="22"/>
        </w:rPr>
        <w:t>baza</w:t>
      </w:r>
      <w:proofErr w:type="spellEnd"/>
      <w:r w:rsidR="007D05C9">
        <w:rPr>
          <w:sz w:val="22"/>
          <w:szCs w:val="22"/>
        </w:rPr>
        <w:t xml:space="preserve"> (2024)</w:t>
      </w:r>
      <w:r w:rsidR="006D52C1">
        <w:rPr>
          <w:sz w:val="22"/>
          <w:szCs w:val="22"/>
        </w:rPr>
        <w:t xml:space="preserve">, en </w:t>
      </w:r>
      <w:r w:rsidRPr="00B21E46">
        <w:rPr>
          <w:sz w:val="22"/>
          <w:szCs w:val="22"/>
        </w:rPr>
        <w:t xml:space="preserve">el caso de </w:t>
      </w:r>
      <w:proofErr w:type="spellStart"/>
      <w:r w:rsidRPr="00B21E46">
        <w:rPr>
          <w:sz w:val="22"/>
          <w:szCs w:val="22"/>
        </w:rPr>
        <w:t>Theranos</w:t>
      </w:r>
      <w:proofErr w:type="spellEnd"/>
      <w:r w:rsidRPr="00B21E46">
        <w:rPr>
          <w:sz w:val="22"/>
          <w:szCs w:val="22"/>
        </w:rPr>
        <w:t xml:space="preserve">, los pacientes fueron sometidos a resultados inexactos en análisis de sangre, lo que condujo a diagnósticos incorrectos y decisiones de tratamiento equivocadas, violando así su derecho a la salud y a la seguridad (Das y Drolet, 2022). Además, como enfatizan Diamandis et al. (2021), los resultados falsificados presentados por </w:t>
      </w:r>
      <w:proofErr w:type="spellStart"/>
      <w:r w:rsidRPr="00B21E46">
        <w:rPr>
          <w:sz w:val="22"/>
          <w:szCs w:val="22"/>
        </w:rPr>
        <w:t>Theranos</w:t>
      </w:r>
      <w:proofErr w:type="spellEnd"/>
      <w:r w:rsidRPr="00B21E46">
        <w:rPr>
          <w:sz w:val="22"/>
          <w:szCs w:val="22"/>
        </w:rPr>
        <w:t xml:space="preserve"> no constituyeron solo una falla técnica, sino también una falla ética, ya que pusieron directamente en peligro la vida de las personas que dependían de la tecnología para tomar decisiones médicas trascendentales.</w:t>
      </w:r>
      <w:r w:rsidR="006C595A">
        <w:rPr>
          <w:sz w:val="22"/>
          <w:szCs w:val="22"/>
        </w:rPr>
        <w:t xml:space="preserve"> </w:t>
      </w:r>
    </w:p>
    <w:p w:rsidR="006C595A" w:rsidP="0099281B" w:rsidRDefault="006C595A" w14:paraId="66E12E7C" w14:textId="197FD968">
      <w:pPr>
        <w:spacing w:line="276" w:lineRule="auto"/>
        <w:jc w:val="both"/>
        <w:rPr>
          <w:sz w:val="22"/>
          <w:szCs w:val="22"/>
        </w:rPr>
      </w:pPr>
      <w:r w:rsidRPr="005817A1">
        <w:rPr>
          <w:sz w:val="22"/>
          <w:szCs w:val="22"/>
        </w:rPr>
        <w:t xml:space="preserve">Como argumentan Das y Drolet (2022), el deber principal de los innovadores en el ámbito de la salud es garantizar que sus productos sean seguros y confiables antes de llegar al mercado. Sin embargo, en lugar de ejercer esta responsabilidad, Holmes y </w:t>
      </w:r>
      <w:proofErr w:type="spellStart"/>
      <w:r w:rsidRPr="005817A1">
        <w:rPr>
          <w:sz w:val="22"/>
          <w:szCs w:val="22"/>
        </w:rPr>
        <w:t>Balwani</w:t>
      </w:r>
      <w:proofErr w:type="spellEnd"/>
      <w:r w:rsidRPr="005817A1">
        <w:rPr>
          <w:sz w:val="22"/>
          <w:szCs w:val="22"/>
        </w:rPr>
        <w:t xml:space="preserve"> optaron por ocultar las fallas de su tecnología, priorizando el éxito corporativo y el beneficio personal por encima de la seguridad de los pacientes. Este comportamiento es contrario a los principios de la ética de la virtud, que prioriza el bienestar de los demás y la búsqueda de la excelencia moral (Gildner et al., 2022).</w:t>
      </w:r>
    </w:p>
    <w:p w:rsidRPr="00E77470" w:rsidR="00E77470" w:rsidP="0099281B" w:rsidRDefault="00E77470" w14:paraId="21C072A0" w14:textId="4ABB1826">
      <w:pPr>
        <w:spacing w:line="276" w:lineRule="auto"/>
        <w:jc w:val="both"/>
        <w:rPr>
          <w:sz w:val="22"/>
          <w:szCs w:val="22"/>
        </w:rPr>
      </w:pPr>
      <w:r w:rsidRPr="00E77470">
        <w:rPr>
          <w:sz w:val="22"/>
          <w:szCs w:val="22"/>
        </w:rPr>
        <w:t xml:space="preserve">Uno de los principales debates </w:t>
      </w:r>
      <w:r>
        <w:rPr>
          <w:sz w:val="22"/>
          <w:szCs w:val="22"/>
        </w:rPr>
        <w:t xml:space="preserve">plateados en la investigación de </w:t>
      </w:r>
      <w:proofErr w:type="spellStart"/>
      <w:r>
        <w:rPr>
          <w:sz w:val="22"/>
          <w:szCs w:val="22"/>
        </w:rPr>
        <w:t>Cambanza</w:t>
      </w:r>
      <w:proofErr w:type="spellEnd"/>
      <w:r w:rsidR="0004576F">
        <w:rPr>
          <w:sz w:val="22"/>
          <w:szCs w:val="22"/>
        </w:rPr>
        <w:t xml:space="preserve"> </w:t>
      </w:r>
      <w:r w:rsidR="00164D89">
        <w:rPr>
          <w:sz w:val="22"/>
          <w:szCs w:val="22"/>
        </w:rPr>
        <w:t xml:space="preserve">(2024) </w:t>
      </w:r>
      <w:r w:rsidR="0004576F">
        <w:rPr>
          <w:sz w:val="22"/>
          <w:szCs w:val="22"/>
        </w:rPr>
        <w:t>es el</w:t>
      </w:r>
      <w:r w:rsidRPr="00E77470">
        <w:rPr>
          <w:sz w:val="22"/>
          <w:szCs w:val="22"/>
        </w:rPr>
        <w:t xml:space="preserve"> enfoque basado en derechos</w:t>
      </w:r>
      <w:r w:rsidR="0004576F">
        <w:rPr>
          <w:sz w:val="22"/>
          <w:szCs w:val="22"/>
        </w:rPr>
        <w:t xml:space="preserve">, el cual, </w:t>
      </w:r>
      <w:r w:rsidRPr="00E77470" w:rsidR="0004576F">
        <w:rPr>
          <w:sz w:val="22"/>
          <w:szCs w:val="22"/>
        </w:rPr>
        <w:t>se</w:t>
      </w:r>
      <w:r w:rsidRPr="00E77470">
        <w:rPr>
          <w:sz w:val="22"/>
          <w:szCs w:val="22"/>
        </w:rPr>
        <w:t xml:space="preserve"> relaciona con la necesidad de encontrar un equilibrio entre el derecho a innovar y el derecho de las personas a recibir información verdadera. Elizabeth Holmes se presentó como una líder visionaria que buscaba transformar la industria de la salud mediante una tecnología innovadora, lo que inicialmente generó un amplio apoyo tanto de inversionistas </w:t>
      </w:r>
      <w:r w:rsidRPr="00E77470">
        <w:rPr>
          <w:sz w:val="22"/>
          <w:szCs w:val="22"/>
        </w:rPr>
        <w:lastRenderedPageBreak/>
        <w:t xml:space="preserve">como del público (Das y Drolet, 2022). Sin embargo, como señala Mcginn (2022), el desarrollo de nuevas tecnologías no puede justificarse si implica vulnerar los derechos de las partes interesadas. En el caso de </w:t>
      </w:r>
      <w:proofErr w:type="spellStart"/>
      <w:r w:rsidRPr="00E77470">
        <w:rPr>
          <w:sz w:val="22"/>
          <w:szCs w:val="22"/>
        </w:rPr>
        <w:t>Theranos</w:t>
      </w:r>
      <w:proofErr w:type="spellEnd"/>
      <w:r w:rsidRPr="00E77470">
        <w:rPr>
          <w:sz w:val="22"/>
          <w:szCs w:val="22"/>
        </w:rPr>
        <w:t>, la intención de avanzar en el desarrollo tecnológico terminó afectando la seguridad de los pacientes y la transparencia hacia los inversionistas. Desde esta perspectiva, el derecho a innovar debe ir acompañado del deber de ofrecer información clara, honesta y precisa, especialmente cuando están en juego la salud de las personas y recursos financieros importantes.</w:t>
      </w:r>
    </w:p>
    <w:p w:rsidR="00B11E44" w:rsidP="0099281B" w:rsidRDefault="00E77470" w14:paraId="69F7BA84" w14:textId="77777777">
      <w:pPr>
        <w:spacing w:line="276" w:lineRule="auto"/>
        <w:jc w:val="both"/>
        <w:rPr>
          <w:sz w:val="22"/>
          <w:szCs w:val="22"/>
        </w:rPr>
      </w:pPr>
      <w:r w:rsidRPr="00E77470">
        <w:rPr>
          <w:sz w:val="22"/>
          <w:szCs w:val="22"/>
        </w:rPr>
        <w:t xml:space="preserve">En este contexto, el papel de los organismos reguladores es fundamental para proteger estos derechos. Diamandis et al. (2021) señalan que instituciones como la </w:t>
      </w:r>
      <w:proofErr w:type="spellStart"/>
      <w:r w:rsidRPr="00604ADA" w:rsidR="008A6439">
        <w:rPr>
          <w:sz w:val="22"/>
          <w:szCs w:val="22"/>
        </w:rPr>
        <w:t>Food</w:t>
      </w:r>
      <w:proofErr w:type="spellEnd"/>
      <w:r w:rsidRPr="00604ADA" w:rsidR="008A6439">
        <w:rPr>
          <w:sz w:val="22"/>
          <w:szCs w:val="22"/>
        </w:rPr>
        <w:t xml:space="preserve"> and </w:t>
      </w:r>
      <w:proofErr w:type="spellStart"/>
      <w:r w:rsidRPr="00604ADA" w:rsidR="008A6439">
        <w:rPr>
          <w:sz w:val="22"/>
          <w:szCs w:val="22"/>
        </w:rPr>
        <w:t>Drug</w:t>
      </w:r>
      <w:proofErr w:type="spellEnd"/>
      <w:r w:rsidRPr="00604ADA" w:rsidR="008A6439">
        <w:rPr>
          <w:sz w:val="22"/>
          <w:szCs w:val="22"/>
        </w:rPr>
        <w:t xml:space="preserve"> </w:t>
      </w:r>
      <w:proofErr w:type="spellStart"/>
      <w:r w:rsidRPr="00604ADA" w:rsidR="008A6439">
        <w:rPr>
          <w:sz w:val="22"/>
          <w:szCs w:val="22"/>
        </w:rPr>
        <w:t>Administration</w:t>
      </w:r>
      <w:proofErr w:type="spellEnd"/>
      <w:r w:rsidRPr="00604ADA" w:rsidR="008A6439">
        <w:rPr>
          <w:sz w:val="22"/>
          <w:szCs w:val="22"/>
        </w:rPr>
        <w:t xml:space="preserve"> (FDA)</w:t>
      </w:r>
      <w:r w:rsidRPr="00604ADA" w:rsidR="00760528">
        <w:rPr>
          <w:sz w:val="22"/>
          <w:szCs w:val="22"/>
        </w:rPr>
        <w:t xml:space="preserve"> (Administración de Alimentos y Medicamentos de Estados Unidos)</w:t>
      </w:r>
      <w:r w:rsidRPr="00604ADA" w:rsidR="008A6439">
        <w:rPr>
          <w:sz w:val="22"/>
          <w:szCs w:val="22"/>
        </w:rPr>
        <w:t xml:space="preserve"> y los Centers </w:t>
      </w:r>
      <w:proofErr w:type="spellStart"/>
      <w:r w:rsidRPr="00604ADA" w:rsidR="008A6439">
        <w:rPr>
          <w:sz w:val="22"/>
          <w:szCs w:val="22"/>
        </w:rPr>
        <w:t>for</w:t>
      </w:r>
      <w:proofErr w:type="spellEnd"/>
      <w:r w:rsidRPr="00604ADA" w:rsidR="008A6439">
        <w:rPr>
          <w:sz w:val="22"/>
          <w:szCs w:val="22"/>
        </w:rPr>
        <w:t xml:space="preserve"> Medicare and Medicaid </w:t>
      </w:r>
      <w:proofErr w:type="spellStart"/>
      <w:r w:rsidRPr="00604ADA" w:rsidR="008A6439">
        <w:rPr>
          <w:sz w:val="22"/>
          <w:szCs w:val="22"/>
        </w:rPr>
        <w:t>Services</w:t>
      </w:r>
      <w:proofErr w:type="spellEnd"/>
      <w:r w:rsidRPr="00604ADA" w:rsidR="008A6439">
        <w:rPr>
          <w:sz w:val="22"/>
          <w:szCs w:val="22"/>
        </w:rPr>
        <w:t xml:space="preserve"> (CMS)</w:t>
      </w:r>
      <w:r w:rsidRPr="00604ADA" w:rsidR="00760528">
        <w:rPr>
          <w:sz w:val="22"/>
          <w:szCs w:val="22"/>
        </w:rPr>
        <w:t xml:space="preserve"> (</w:t>
      </w:r>
      <w:r w:rsidRPr="00604ADA" w:rsidR="00B0253A">
        <w:rPr>
          <w:sz w:val="22"/>
          <w:szCs w:val="22"/>
        </w:rPr>
        <w:t>Centros de Servicios de Medicare y Medicaid</w:t>
      </w:r>
      <w:r w:rsidRPr="00604ADA" w:rsidR="00A447FA">
        <w:rPr>
          <w:sz w:val="22"/>
          <w:szCs w:val="22"/>
        </w:rPr>
        <w:t>)</w:t>
      </w:r>
      <w:r w:rsidRPr="00604ADA" w:rsidR="008A6439">
        <w:rPr>
          <w:sz w:val="22"/>
          <w:szCs w:val="22"/>
        </w:rPr>
        <w:t>,</w:t>
      </w:r>
      <w:r w:rsidRPr="00604ADA" w:rsidR="003B6973">
        <w:rPr>
          <w:sz w:val="22"/>
          <w:szCs w:val="22"/>
        </w:rPr>
        <w:t xml:space="preserve"> </w:t>
      </w:r>
      <w:r w:rsidRPr="00E77470">
        <w:rPr>
          <w:sz w:val="22"/>
          <w:szCs w:val="22"/>
        </w:rPr>
        <w:t xml:space="preserve">tienen la responsabilidad de asegurar que las empresas cumplan con estándares éticos y regulatorios, particularmente cuando se trata de tecnologías que pueden afectar la salud de los pacientes. </w:t>
      </w:r>
    </w:p>
    <w:p w:rsidR="00B11E44" w:rsidP="0099281B" w:rsidRDefault="00E77470" w14:paraId="3161C37F" w14:textId="66002A3B">
      <w:pPr>
        <w:spacing w:line="276" w:lineRule="auto"/>
        <w:jc w:val="both"/>
        <w:rPr>
          <w:sz w:val="22"/>
          <w:szCs w:val="22"/>
        </w:rPr>
      </w:pPr>
      <w:r w:rsidRPr="00E77470">
        <w:rPr>
          <w:sz w:val="22"/>
          <w:szCs w:val="22"/>
        </w:rPr>
        <w:t xml:space="preserve">En el caso de </w:t>
      </w:r>
      <w:proofErr w:type="spellStart"/>
      <w:r w:rsidRPr="00E77470">
        <w:rPr>
          <w:sz w:val="22"/>
          <w:szCs w:val="22"/>
        </w:rPr>
        <w:t>Theranos</w:t>
      </w:r>
      <w:proofErr w:type="spellEnd"/>
      <w:r w:rsidRPr="00E77470">
        <w:rPr>
          <w:sz w:val="22"/>
          <w:szCs w:val="22"/>
        </w:rPr>
        <w:t>, la incapacidad de la empresa para garantizar resultados confiables en sus pruebas médicas debió haber sido detectada y corregida en etapas más tempranas mediante una supervisión regulatoria más efectiva. No obstante, como indica Furlow (2022), el alto nivel de secretismo que caracterizaba las operaciones de la empresa dificultó que los reguladores y otros actores externos evaluaran con precisión el verdadero estado de la tecnología. Esta falta de transparencia terminó afectando los derechos tanto de pacientes como de inversionistas y debilitó la confianza pública en las innovaciones del sector sanitario (Das y Drolet, 2022).</w:t>
      </w:r>
    </w:p>
    <w:p w:rsidRPr="00B11E44" w:rsidR="00B11E44" w:rsidP="0099281B" w:rsidRDefault="00B11E44" w14:paraId="757A7CBB" w14:textId="731F999D">
      <w:pPr>
        <w:spacing w:line="276" w:lineRule="auto"/>
        <w:jc w:val="both"/>
        <w:rPr>
          <w:sz w:val="22"/>
          <w:szCs w:val="22"/>
        </w:rPr>
      </w:pPr>
      <w:r w:rsidRPr="00B11E44">
        <w:rPr>
          <w:sz w:val="22"/>
          <w:szCs w:val="22"/>
        </w:rPr>
        <w:t xml:space="preserve">El evento crítico que desencadenó el colapso de </w:t>
      </w:r>
      <w:proofErr w:type="spellStart"/>
      <w:r w:rsidRPr="00B11E44">
        <w:rPr>
          <w:sz w:val="22"/>
          <w:szCs w:val="22"/>
        </w:rPr>
        <w:t>Theranos</w:t>
      </w:r>
      <w:proofErr w:type="spellEnd"/>
      <w:r w:rsidRPr="00B11E44">
        <w:rPr>
          <w:sz w:val="22"/>
          <w:szCs w:val="22"/>
        </w:rPr>
        <w:t xml:space="preserve"> se produjo en 2015, cuando el periodista John Carreyrou del </w:t>
      </w:r>
      <w:r w:rsidRPr="00B11E44">
        <w:rPr>
          <w:i/>
          <w:iCs/>
          <w:sz w:val="22"/>
          <w:szCs w:val="22"/>
        </w:rPr>
        <w:t xml:space="preserve">Wall Street </w:t>
      </w:r>
      <w:proofErr w:type="spellStart"/>
      <w:r w:rsidRPr="00B11E44">
        <w:rPr>
          <w:i/>
          <w:iCs/>
          <w:sz w:val="22"/>
          <w:szCs w:val="22"/>
        </w:rPr>
        <w:t>Journal</w:t>
      </w:r>
      <w:proofErr w:type="spellEnd"/>
      <w:r w:rsidRPr="00B11E44">
        <w:rPr>
          <w:sz w:val="22"/>
          <w:szCs w:val="22"/>
        </w:rPr>
        <w:t xml:space="preserve"> publicó una investigación que revelaba que la tecnología de la empresa no funcionaba como se afirmaba. Este reportaje expuso que muchos de los análisis de sangre se realizaban en equipos convencionales y que los dispositivos propios de </w:t>
      </w:r>
      <w:proofErr w:type="spellStart"/>
      <w:r w:rsidRPr="00B11E44">
        <w:rPr>
          <w:sz w:val="22"/>
          <w:szCs w:val="22"/>
        </w:rPr>
        <w:t>Theranos</w:t>
      </w:r>
      <w:proofErr w:type="spellEnd"/>
      <w:r w:rsidRPr="00B11E44">
        <w:rPr>
          <w:sz w:val="22"/>
          <w:szCs w:val="22"/>
        </w:rPr>
        <w:t xml:space="preserve"> generaban resultados poco confiables.</w:t>
      </w:r>
    </w:p>
    <w:p w:rsidR="006925CF" w:rsidP="0099281B" w:rsidRDefault="00B11E44" w14:paraId="48741FCF" w14:textId="77777777">
      <w:pPr>
        <w:spacing w:line="276" w:lineRule="auto"/>
        <w:jc w:val="both"/>
        <w:rPr>
          <w:sz w:val="22"/>
          <w:szCs w:val="22"/>
        </w:rPr>
      </w:pPr>
      <w:r w:rsidRPr="00B11E44">
        <w:rPr>
          <w:sz w:val="22"/>
          <w:szCs w:val="22"/>
        </w:rPr>
        <w:t xml:space="preserve">Tras estas revelaciones, los organismos reguladores estadounidenses, incluyendo </w:t>
      </w:r>
      <w:r w:rsidRPr="001C3C0A">
        <w:rPr>
          <w:i/>
          <w:iCs/>
          <w:sz w:val="22"/>
          <w:szCs w:val="22"/>
        </w:rPr>
        <w:t xml:space="preserve">la </w:t>
      </w:r>
      <w:proofErr w:type="spellStart"/>
      <w:r w:rsidRPr="001C3C0A">
        <w:rPr>
          <w:i/>
          <w:iCs/>
          <w:sz w:val="22"/>
          <w:szCs w:val="22"/>
        </w:rPr>
        <w:t>Food</w:t>
      </w:r>
      <w:proofErr w:type="spellEnd"/>
      <w:r w:rsidRPr="001C3C0A">
        <w:rPr>
          <w:i/>
          <w:iCs/>
          <w:sz w:val="22"/>
          <w:szCs w:val="22"/>
        </w:rPr>
        <w:t xml:space="preserve"> and </w:t>
      </w:r>
      <w:proofErr w:type="spellStart"/>
      <w:r w:rsidRPr="001C3C0A">
        <w:rPr>
          <w:i/>
          <w:iCs/>
          <w:sz w:val="22"/>
          <w:szCs w:val="22"/>
        </w:rPr>
        <w:t>Drug</w:t>
      </w:r>
      <w:proofErr w:type="spellEnd"/>
      <w:r w:rsidRPr="001C3C0A">
        <w:rPr>
          <w:i/>
          <w:iCs/>
          <w:sz w:val="22"/>
          <w:szCs w:val="22"/>
        </w:rPr>
        <w:t xml:space="preserve"> </w:t>
      </w:r>
      <w:proofErr w:type="spellStart"/>
      <w:r w:rsidRPr="001C3C0A">
        <w:rPr>
          <w:i/>
          <w:iCs/>
          <w:sz w:val="22"/>
          <w:szCs w:val="22"/>
        </w:rPr>
        <w:t>Administration</w:t>
      </w:r>
      <w:proofErr w:type="spellEnd"/>
      <w:r w:rsidRPr="001C3C0A">
        <w:rPr>
          <w:i/>
          <w:iCs/>
          <w:sz w:val="22"/>
          <w:szCs w:val="22"/>
        </w:rPr>
        <w:t xml:space="preserve"> (FDA)</w:t>
      </w:r>
      <w:r w:rsidRPr="00B11E44">
        <w:rPr>
          <w:sz w:val="22"/>
          <w:szCs w:val="22"/>
        </w:rPr>
        <w:t xml:space="preserve"> y los </w:t>
      </w:r>
      <w:r w:rsidRPr="001C3C0A">
        <w:rPr>
          <w:i/>
          <w:iCs/>
          <w:sz w:val="22"/>
          <w:szCs w:val="22"/>
        </w:rPr>
        <w:t xml:space="preserve">Centers </w:t>
      </w:r>
      <w:proofErr w:type="spellStart"/>
      <w:r w:rsidRPr="001C3C0A">
        <w:rPr>
          <w:i/>
          <w:iCs/>
          <w:sz w:val="22"/>
          <w:szCs w:val="22"/>
        </w:rPr>
        <w:t>for</w:t>
      </w:r>
      <w:proofErr w:type="spellEnd"/>
      <w:r w:rsidRPr="001C3C0A">
        <w:rPr>
          <w:i/>
          <w:iCs/>
          <w:sz w:val="22"/>
          <w:szCs w:val="22"/>
        </w:rPr>
        <w:t xml:space="preserve"> Medicare and Medicaid </w:t>
      </w:r>
      <w:proofErr w:type="spellStart"/>
      <w:r w:rsidRPr="001C3C0A">
        <w:rPr>
          <w:i/>
          <w:iCs/>
          <w:sz w:val="22"/>
          <w:szCs w:val="22"/>
        </w:rPr>
        <w:t>Services</w:t>
      </w:r>
      <w:proofErr w:type="spellEnd"/>
      <w:r w:rsidRPr="001C3C0A">
        <w:rPr>
          <w:i/>
          <w:iCs/>
          <w:sz w:val="22"/>
          <w:szCs w:val="22"/>
        </w:rPr>
        <w:t xml:space="preserve"> (CMS</w:t>
      </w:r>
      <w:r w:rsidRPr="00B11E44">
        <w:rPr>
          <w:sz w:val="22"/>
          <w:szCs w:val="22"/>
        </w:rPr>
        <w:t xml:space="preserve">), iniciaron investigaciones formales que confirmaron graves deficiencias en las prácticas de laboratorio de la empresa. </w:t>
      </w:r>
    </w:p>
    <w:p w:rsidR="006925CF" w:rsidP="0099281B" w:rsidRDefault="006925CF" w14:paraId="3ECB2CEA" w14:textId="1EBA41B6">
      <w:pPr>
        <w:spacing w:line="276" w:lineRule="auto"/>
        <w:jc w:val="both"/>
        <w:rPr>
          <w:sz w:val="22"/>
          <w:szCs w:val="22"/>
        </w:rPr>
      </w:pPr>
      <w:r w:rsidRPr="00DA4F0A">
        <w:rPr>
          <w:sz w:val="22"/>
          <w:szCs w:val="22"/>
        </w:rPr>
        <w:t xml:space="preserve">De acuerdo con </w:t>
      </w:r>
      <w:proofErr w:type="spellStart"/>
      <w:r w:rsidRPr="00DA4F0A">
        <w:rPr>
          <w:sz w:val="22"/>
          <w:szCs w:val="22"/>
        </w:rPr>
        <w:t>Cambaza</w:t>
      </w:r>
      <w:proofErr w:type="spellEnd"/>
      <w:r w:rsidRPr="00DA4F0A">
        <w:rPr>
          <w:sz w:val="22"/>
          <w:szCs w:val="22"/>
        </w:rPr>
        <w:t xml:space="preserve"> (2024), los organismos reguladores y las agencias de aplicación de la ley finalmente tomaron medidas contra </w:t>
      </w:r>
      <w:proofErr w:type="spellStart"/>
      <w:r w:rsidRPr="00DA4F0A">
        <w:rPr>
          <w:sz w:val="22"/>
          <w:szCs w:val="22"/>
        </w:rPr>
        <w:t>Theranos</w:t>
      </w:r>
      <w:proofErr w:type="spellEnd"/>
      <w:r w:rsidRPr="00DA4F0A">
        <w:rPr>
          <w:sz w:val="22"/>
          <w:szCs w:val="22"/>
        </w:rPr>
        <w:t xml:space="preserve">, pero sus respuestas fueron lentas y fragmentadas. La Administración de Alimentos y Medicamentos de Estados Unidos (FDA) y los Centros de Servicios de Medicare y Medicaid (CMS) no intervinieron hasta después de varios años en los que ya se habían producido prácticas dudosas (Das y Drolet, 2022). Cuando el CMS determinó que las operaciones de </w:t>
      </w:r>
      <w:proofErr w:type="spellStart"/>
      <w:r w:rsidRPr="00DA4F0A">
        <w:rPr>
          <w:sz w:val="22"/>
          <w:szCs w:val="22"/>
        </w:rPr>
        <w:t>Theranos</w:t>
      </w:r>
      <w:proofErr w:type="spellEnd"/>
      <w:r w:rsidRPr="00DA4F0A">
        <w:rPr>
          <w:sz w:val="22"/>
          <w:szCs w:val="22"/>
        </w:rPr>
        <w:t xml:space="preserve"> representaban un “peligro inmediato” para la salud de los pacientes, la empresa ya había causado daños significativos a través de resultados de pruebas inexactos (Richards, 2022). Esta respuesta tardía puso de manifiesto debilidades en la </w:t>
      </w:r>
      <w:r w:rsidRPr="00DA4F0A">
        <w:rPr>
          <w:sz w:val="22"/>
          <w:szCs w:val="22"/>
        </w:rPr>
        <w:lastRenderedPageBreak/>
        <w:t>supervisión regulatoria y planteó interrogantes sobre la eficiencia de las regulaciones sanitarias actuales para prevenir el fraude (Furlow, 2022).</w:t>
      </w:r>
    </w:p>
    <w:p w:rsidR="00B11E44" w:rsidP="0099281B" w:rsidRDefault="00B11E44" w14:paraId="21421C5B" w14:textId="4F3991A1">
      <w:pPr>
        <w:spacing w:line="276" w:lineRule="auto"/>
        <w:jc w:val="both"/>
        <w:rPr>
          <w:sz w:val="22"/>
          <w:szCs w:val="22"/>
        </w:rPr>
      </w:pPr>
      <w:r w:rsidRPr="00B11E44">
        <w:rPr>
          <w:sz w:val="22"/>
          <w:szCs w:val="22"/>
        </w:rPr>
        <w:t xml:space="preserve">Las autoridades concluyeron que las operaciones de </w:t>
      </w:r>
      <w:proofErr w:type="spellStart"/>
      <w:r w:rsidRPr="00B11E44">
        <w:rPr>
          <w:sz w:val="22"/>
          <w:szCs w:val="22"/>
        </w:rPr>
        <w:t>Theranos</w:t>
      </w:r>
      <w:proofErr w:type="spellEnd"/>
      <w:r w:rsidRPr="00B11E44">
        <w:rPr>
          <w:sz w:val="22"/>
          <w:szCs w:val="22"/>
        </w:rPr>
        <w:t xml:space="preserve"> representaban un riesgo inmediato para la salud de los pacientes. Posteriormente, el Departamento de Justicia de Estados Unidos presentó cargos por fraude contra Holmes y </w:t>
      </w:r>
      <w:proofErr w:type="spellStart"/>
      <w:r w:rsidRPr="00B11E44">
        <w:rPr>
          <w:sz w:val="22"/>
          <w:szCs w:val="22"/>
        </w:rPr>
        <w:t>Balwani</w:t>
      </w:r>
      <w:proofErr w:type="spellEnd"/>
      <w:r w:rsidRPr="00B11E44">
        <w:rPr>
          <w:sz w:val="22"/>
          <w:szCs w:val="22"/>
        </w:rPr>
        <w:t>, lo que culminó en procesos judiciales y condenas penales.</w:t>
      </w:r>
      <w:r w:rsidR="0099281B">
        <w:rPr>
          <w:sz w:val="22"/>
          <w:szCs w:val="22"/>
        </w:rPr>
        <w:t xml:space="preserve"> </w:t>
      </w:r>
      <w:r w:rsidRPr="00B11E44">
        <w:rPr>
          <w:sz w:val="22"/>
          <w:szCs w:val="22"/>
        </w:rPr>
        <w:t xml:space="preserve">El caso </w:t>
      </w:r>
      <w:proofErr w:type="spellStart"/>
      <w:r w:rsidRPr="00B11E44">
        <w:rPr>
          <w:sz w:val="22"/>
          <w:szCs w:val="22"/>
        </w:rPr>
        <w:t>Theranos</w:t>
      </w:r>
      <w:proofErr w:type="spellEnd"/>
      <w:r w:rsidRPr="00B11E44">
        <w:rPr>
          <w:sz w:val="22"/>
          <w:szCs w:val="22"/>
        </w:rPr>
        <w:t xml:space="preserve"> se convirtió así en uno de los ejemplos más emblemáticos de fraude corporativo y falla regulatoria en el sector de la tecnología sanitaria, evidenciando la importancia de la supervisión independiente, la transparencia organizacional y el liderazgo ético en contextos de innovación tecnológica.</w:t>
      </w:r>
    </w:p>
    <w:p w:rsidRPr="005817A1" w:rsidR="002C17A9" w:rsidP="0099281B" w:rsidRDefault="009C5382" w14:paraId="4920A2BE" w14:textId="286181EC">
      <w:pPr>
        <w:spacing w:line="276" w:lineRule="auto"/>
        <w:jc w:val="both"/>
        <w:rPr>
          <w:sz w:val="22"/>
          <w:szCs w:val="22"/>
        </w:rPr>
      </w:pPr>
      <w:r>
        <w:rPr>
          <w:sz w:val="22"/>
          <w:szCs w:val="22"/>
        </w:rPr>
        <w:t>Los resultados de las investigaciones evidenciaron que d</w:t>
      </w:r>
      <w:r w:rsidRPr="002B61D9" w:rsidR="002B61D9">
        <w:rPr>
          <w:sz w:val="22"/>
          <w:szCs w:val="22"/>
        </w:rPr>
        <w:t xml:space="preserve">entro de la organización se desarrolló un proceso gradual de normalización del riesgo, en el cual las desviaciones respecto a </w:t>
      </w:r>
      <w:r w:rsidR="00537758">
        <w:rPr>
          <w:sz w:val="22"/>
          <w:szCs w:val="22"/>
        </w:rPr>
        <w:t xml:space="preserve">los </w:t>
      </w:r>
      <w:r w:rsidRPr="002B61D9" w:rsidR="002B61D9">
        <w:rPr>
          <w:sz w:val="22"/>
          <w:szCs w:val="22"/>
        </w:rPr>
        <w:t>estándares científicos y regulatorios fueron progresivamente aceptadas como prácticas habituales. La presión por demostrar resultados rápidos, atraer inversión y consolidar alianzas comerciales llevó a la empresa a continuar operando aun cuando existían evidencias de que la tecnología no funcionaba de manera confiable.</w:t>
      </w:r>
      <w:r w:rsidR="002C28AB">
        <w:rPr>
          <w:sz w:val="22"/>
          <w:szCs w:val="22"/>
        </w:rPr>
        <w:t xml:space="preserve"> Lo anterior, combinado con una cultura tóxica</w:t>
      </w:r>
      <w:r w:rsidR="00291F6C">
        <w:rPr>
          <w:sz w:val="22"/>
          <w:szCs w:val="22"/>
        </w:rPr>
        <w:t xml:space="preserve"> con liderazgo </w:t>
      </w:r>
      <w:r w:rsidR="00CA10A1">
        <w:rPr>
          <w:sz w:val="22"/>
          <w:szCs w:val="22"/>
        </w:rPr>
        <w:t>despótico</w:t>
      </w:r>
      <w:r w:rsidR="00835EFC">
        <w:rPr>
          <w:sz w:val="22"/>
          <w:szCs w:val="22"/>
        </w:rPr>
        <w:t xml:space="preserve">, la ausencia </w:t>
      </w:r>
      <w:r w:rsidRPr="002B61D9" w:rsidR="002B61D9">
        <w:rPr>
          <w:sz w:val="22"/>
          <w:szCs w:val="22"/>
        </w:rPr>
        <w:t>supervisión efectiva por parte de la junta directiva y la confianza excesiva en el liderazgo contribuyeron a que estas prácticas se consolidaran. Asimismo, la ausencia de controles regulatorios tempranos permitió que la empresa expandiera sus operaciones, incluyendo acuerdos con cadenas farmacéuticas como Walgreens para instalar centros de análisis clínicos.</w:t>
      </w:r>
    </w:p>
    <w:p w:rsidR="00751557" w:rsidP="0099281B" w:rsidRDefault="000838D8" w14:paraId="60DA1367" w14:textId="0E9494D8">
      <w:pPr>
        <w:spacing w:line="276" w:lineRule="auto"/>
        <w:jc w:val="both"/>
        <w:rPr>
          <w:sz w:val="22"/>
          <w:szCs w:val="22"/>
        </w:rPr>
      </w:pPr>
      <w:r>
        <w:rPr>
          <w:sz w:val="22"/>
          <w:szCs w:val="22"/>
        </w:rPr>
        <w:t xml:space="preserve">Esta </w:t>
      </w:r>
      <w:r w:rsidR="00E8548F">
        <w:rPr>
          <w:sz w:val="22"/>
          <w:szCs w:val="22"/>
        </w:rPr>
        <w:t>infortunada experiencia se convertiría después</w:t>
      </w:r>
      <w:r>
        <w:rPr>
          <w:sz w:val="22"/>
          <w:szCs w:val="22"/>
        </w:rPr>
        <w:t xml:space="preserve"> en un caso de estudio</w:t>
      </w:r>
      <w:r w:rsidR="00CA5882">
        <w:rPr>
          <w:sz w:val="22"/>
          <w:szCs w:val="22"/>
        </w:rPr>
        <w:t xml:space="preserve"> de</w:t>
      </w:r>
      <w:r w:rsidRPr="003A77D2" w:rsidR="00F016D2">
        <w:rPr>
          <w:sz w:val="22"/>
          <w:szCs w:val="22"/>
        </w:rPr>
        <w:t xml:space="preserve"> advertencia sobre las </w:t>
      </w:r>
      <w:r w:rsidRPr="0096305F" w:rsidR="00F016D2">
        <w:rPr>
          <w:sz w:val="22"/>
          <w:szCs w:val="22"/>
        </w:rPr>
        <w:t>cuestiones éticas</w:t>
      </w:r>
      <w:r w:rsidRPr="003A77D2" w:rsidR="00F016D2">
        <w:rPr>
          <w:sz w:val="22"/>
          <w:szCs w:val="22"/>
        </w:rPr>
        <w:t xml:space="preserve">, </w:t>
      </w:r>
      <w:r w:rsidRPr="0096305F" w:rsidR="00F016D2">
        <w:rPr>
          <w:sz w:val="22"/>
          <w:szCs w:val="22"/>
        </w:rPr>
        <w:t>las responsabilidades de los innovadores en el sector sanitario</w:t>
      </w:r>
      <w:r w:rsidRPr="003A77D2" w:rsidR="00F016D2">
        <w:rPr>
          <w:sz w:val="22"/>
          <w:szCs w:val="22"/>
        </w:rPr>
        <w:t xml:space="preserve">, la </w:t>
      </w:r>
      <w:r w:rsidRPr="0096305F" w:rsidR="00F016D2">
        <w:rPr>
          <w:sz w:val="22"/>
          <w:szCs w:val="22"/>
        </w:rPr>
        <w:t>seguridad de los pacientes y la integridad de los avances médicos (Hogarth et al., 2022).</w:t>
      </w:r>
      <w:r w:rsidR="00A952A3">
        <w:rPr>
          <w:sz w:val="22"/>
          <w:szCs w:val="22"/>
        </w:rPr>
        <w:t xml:space="preserve"> </w:t>
      </w:r>
      <w:r w:rsidRPr="00A952A3" w:rsidR="00A952A3">
        <w:rPr>
          <w:sz w:val="22"/>
          <w:szCs w:val="22"/>
        </w:rPr>
        <w:t xml:space="preserve">El escándalo de </w:t>
      </w:r>
      <w:proofErr w:type="spellStart"/>
      <w:r w:rsidRPr="00A952A3" w:rsidR="00A952A3">
        <w:rPr>
          <w:sz w:val="22"/>
          <w:szCs w:val="22"/>
        </w:rPr>
        <w:t>Theranos</w:t>
      </w:r>
      <w:proofErr w:type="spellEnd"/>
      <w:r w:rsidRPr="00A952A3" w:rsidR="00A952A3">
        <w:rPr>
          <w:sz w:val="22"/>
          <w:szCs w:val="22"/>
        </w:rPr>
        <w:t xml:space="preserve"> ofrece importantes lecciones para la industria de la tecnología médica, al destacar los riesgos de priorizar la innovación acelerada y el éxito financiero por encima de la transparencia, la seguridad y la responsabilidad ética (Das y Drolet, 2022). A medida que este como demuestra este caso, la promesa de la innovación puede volverse peligrosa cuando no está respaldada por </w:t>
      </w:r>
      <w:r w:rsidRPr="00A952A3" w:rsidR="00757131">
        <w:rPr>
          <w:sz w:val="22"/>
          <w:szCs w:val="22"/>
        </w:rPr>
        <w:t>pr</w:t>
      </w:r>
      <w:r w:rsidR="00757131">
        <w:rPr>
          <w:sz w:val="22"/>
          <w:szCs w:val="22"/>
        </w:rPr>
        <w:t>á</w:t>
      </w:r>
      <w:r w:rsidRPr="00A952A3" w:rsidR="00757131">
        <w:rPr>
          <w:sz w:val="22"/>
          <w:szCs w:val="22"/>
        </w:rPr>
        <w:t>cticas</w:t>
      </w:r>
      <w:r w:rsidR="00757131">
        <w:rPr>
          <w:sz w:val="22"/>
          <w:szCs w:val="22"/>
        </w:rPr>
        <w:t xml:space="preserve"> </w:t>
      </w:r>
      <w:r w:rsidRPr="00A952A3" w:rsidR="00A952A3">
        <w:rPr>
          <w:sz w:val="22"/>
          <w:szCs w:val="22"/>
        </w:rPr>
        <w:t>científicas sólidas y mecanismos de rendición de cuentas.</w:t>
      </w:r>
    </w:p>
    <w:p w:rsidRPr="00AC0219" w:rsidR="008C0C32" w:rsidP="0099281B" w:rsidRDefault="00231A06" w14:paraId="33590D81" w14:textId="5D06C10D">
      <w:pPr>
        <w:pStyle w:val="Ttulo1"/>
        <w:numPr>
          <w:ilvl w:val="0"/>
          <w:numId w:val="6"/>
        </w:numPr>
        <w:spacing w:line="276" w:lineRule="auto"/>
        <w:jc w:val="center"/>
        <w:rPr>
          <w:rFonts w:asciiTheme="minorHAnsi" w:hAnsiTheme="minorHAnsi"/>
          <w:b/>
          <w:bCs/>
          <w:color w:val="auto"/>
          <w:sz w:val="24"/>
          <w:szCs w:val="24"/>
        </w:rPr>
      </w:pPr>
      <w:bookmarkStart w:name="_Toc225160619" w:id="24"/>
      <w:r w:rsidRPr="00AC0219">
        <w:rPr>
          <w:rFonts w:asciiTheme="minorHAnsi" w:hAnsiTheme="minorHAnsi"/>
          <w:b/>
          <w:bCs/>
          <w:color w:val="auto"/>
          <w:sz w:val="24"/>
          <w:szCs w:val="24"/>
        </w:rPr>
        <w:t>MATRIZ</w:t>
      </w:r>
      <w:r>
        <w:rPr>
          <w:rFonts w:asciiTheme="minorHAnsi" w:hAnsiTheme="minorHAnsi"/>
          <w:b/>
          <w:bCs/>
          <w:color w:val="auto"/>
          <w:sz w:val="24"/>
          <w:szCs w:val="24"/>
        </w:rPr>
        <w:t xml:space="preserve"> COMPARATIVA</w:t>
      </w:r>
      <w:bookmarkEnd w:id="24"/>
    </w:p>
    <w:p w:rsidRPr="00AC0219" w:rsidR="00E2129D" w:rsidP="0099281B" w:rsidRDefault="00E2129D" w14:paraId="2FFF49C1" w14:textId="77777777">
      <w:pPr>
        <w:spacing w:line="276" w:lineRule="auto"/>
      </w:pPr>
    </w:p>
    <w:p w:rsidR="003C256B" w:rsidP="0099281B" w:rsidRDefault="00B523C2" w14:paraId="45D6FF6F" w14:textId="3E61C128">
      <w:pPr>
        <w:spacing w:line="276" w:lineRule="auto"/>
        <w:jc w:val="both"/>
        <w:rPr>
          <w:sz w:val="22"/>
          <w:szCs w:val="22"/>
        </w:rPr>
      </w:pPr>
      <w:r w:rsidRPr="00B523C2">
        <w:rPr>
          <w:sz w:val="22"/>
          <w:szCs w:val="22"/>
        </w:rPr>
        <w:t xml:space="preserve">En el estudio de los riesgos organizacionales, el análisis de casos reales de alto impacto constituye una herramienta fundamental para comprender cómo las fallas en la gobernanza, la toma de decisiones y los sistemas de control pueden desencadenar crisis institucionales de gran magnitud. A nivel internacional, diversos escándalos corporativos y accidentes organizacionales han evidenciado que los eventos críticos rara vez son producto de una única falla técnica o humana, sino del resultado de procesos acumulativos en los que se combinan debilidades estructurales, señales tempranas ignoradas, prácticas riesgosas que se normalizan dentro de las organizaciones y sistemas de supervisión insuficientes. En este contexto, la siguiente matriz </w:t>
      </w:r>
      <w:r w:rsidRPr="00B523C2">
        <w:rPr>
          <w:sz w:val="22"/>
          <w:szCs w:val="22"/>
        </w:rPr>
        <w:lastRenderedPageBreak/>
        <w:t xml:space="preserve">presenta un resumen comparativo de varios casos </w:t>
      </w:r>
      <w:r w:rsidR="00EA41C6">
        <w:rPr>
          <w:sz w:val="22"/>
          <w:szCs w:val="22"/>
        </w:rPr>
        <w:t xml:space="preserve">internacionales </w:t>
      </w:r>
      <w:r w:rsidRPr="00B523C2">
        <w:rPr>
          <w:sz w:val="22"/>
          <w:szCs w:val="22"/>
        </w:rPr>
        <w:t xml:space="preserve">emblemáticos analizados a partir del </w:t>
      </w:r>
      <w:r w:rsidR="00055D5C">
        <w:rPr>
          <w:sz w:val="22"/>
          <w:szCs w:val="22"/>
        </w:rPr>
        <w:t>análisis</w:t>
      </w:r>
      <w:r w:rsidR="00332815">
        <w:rPr>
          <w:sz w:val="22"/>
          <w:szCs w:val="22"/>
        </w:rPr>
        <w:t xml:space="preserve"> sobre</w:t>
      </w:r>
      <w:r w:rsidRPr="00B523C2">
        <w:rPr>
          <w:sz w:val="22"/>
          <w:szCs w:val="22"/>
        </w:rPr>
        <w:t xml:space="preserve"> los riesgos organizacionales, tales como la estructura organizacional, las dinámicas de toma de decisiones, las señales tempranas ignoradas, los procesos de normalización del riesgo, las fallas latentes acumuladas y los eventos críticos que desencadenaron las crisis. Este ejercicio permite identificar patrones comunes de degradación organizacional y extraer lecciones relevantes para fortalecer los sistemas de gobernanza, control y gestión del riesgo en instituciones públicas y privadas.</w:t>
      </w:r>
    </w:p>
    <w:p w:rsidR="00757131" w:rsidP="0099281B" w:rsidRDefault="00757131" w14:paraId="5A87CAB8" w14:textId="77777777">
      <w:pPr>
        <w:spacing w:line="276" w:lineRule="auto"/>
        <w:jc w:val="both"/>
        <w:rPr>
          <w:sz w:val="22"/>
          <w:szCs w:val="22"/>
        </w:rPr>
      </w:pPr>
    </w:p>
    <w:p w:rsidRPr="001F7A5B" w:rsidR="007F124D" w:rsidP="001F7A5B" w:rsidRDefault="007F124D" w14:paraId="72231533" w14:textId="35708850">
      <w:pPr>
        <w:spacing w:line="259" w:lineRule="auto"/>
        <w:jc w:val="center"/>
        <w:rPr>
          <w:i/>
          <w:iCs/>
          <w:sz w:val="20"/>
          <w:szCs w:val="20"/>
        </w:rPr>
        <w:sectPr w:rsidRPr="001F7A5B" w:rsidR="00000000" w:rsidSect="00104AF6">
          <w:headerReference w:type="default" r:id="rId14"/>
          <w:headerReference w:type="first" r:id="rId15"/>
          <w:pgSz w:w="12240" w:h="15840" w:orient="portrait"/>
          <w:pgMar w:top="1418" w:right="1701" w:bottom="1418" w:left="1418" w:header="709" w:footer="709" w:gutter="0"/>
          <w:cols w:space="708"/>
          <w:titlePg/>
          <w:docGrid w:linePitch="360"/>
        </w:sectPr>
      </w:pPr>
    </w:p>
    <w:tbl>
      <w:tblPr>
        <w:tblStyle w:val="Tablaconcuadrcula"/>
        <w:tblW w:w="13751" w:type="dxa"/>
        <w:tblInd w:w="-434"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35"/>
        <w:gridCol w:w="2410"/>
        <w:gridCol w:w="1984"/>
        <w:gridCol w:w="1985"/>
        <w:gridCol w:w="1984"/>
        <w:gridCol w:w="2127"/>
        <w:gridCol w:w="2126"/>
      </w:tblGrid>
      <w:tr w:rsidRPr="00877D8E" w:rsidR="002478D3" w:rsidTr="00877D8E" w14:paraId="79D52E0D" w14:textId="77777777">
        <w:trPr>
          <w:cantSplit/>
          <w:tblHeader/>
        </w:trPr>
        <w:tc>
          <w:tcPr>
            <w:tcW w:w="1135" w:type="dxa"/>
            <w:shd w:val="clear" w:color="auto" w:fill="D9D9D9" w:themeFill="background1" w:themeFillShade="D9"/>
            <w:tcMar>
              <w:left w:w="105" w:type="dxa"/>
              <w:right w:w="105" w:type="dxa"/>
            </w:tcMar>
            <w:vAlign w:val="center"/>
          </w:tcPr>
          <w:p w:rsidRPr="00877D8E" w:rsidR="76CD7B26" w:rsidP="76CD7B26" w:rsidRDefault="76CD7B26" w14:paraId="7F3A5147" w14:textId="74EDF359">
            <w:pPr>
              <w:jc w:val="center"/>
              <w:rPr>
                <w:rFonts w:ascii="Aptos" w:hAnsi="Aptos" w:eastAsia="Aptos" w:cs="Aptos"/>
                <w:sz w:val="12"/>
                <w:szCs w:val="12"/>
              </w:rPr>
            </w:pPr>
            <w:r w:rsidRPr="00877D8E">
              <w:rPr>
                <w:rFonts w:ascii="Aptos" w:hAnsi="Aptos" w:eastAsia="Aptos" w:cs="Aptos"/>
                <w:b/>
                <w:bCs/>
                <w:sz w:val="12"/>
                <w:szCs w:val="12"/>
              </w:rPr>
              <w:lastRenderedPageBreak/>
              <w:t>PROYECTO/</w:t>
            </w:r>
          </w:p>
          <w:p w:rsidRPr="00877D8E" w:rsidR="76CD7B26" w:rsidP="76CD7B26" w:rsidRDefault="76CD7B26" w14:paraId="38A9C529" w14:textId="3099D329">
            <w:pPr>
              <w:jc w:val="center"/>
              <w:rPr>
                <w:rFonts w:ascii="Aptos" w:hAnsi="Aptos" w:eastAsia="Aptos" w:cs="Aptos"/>
                <w:sz w:val="12"/>
                <w:szCs w:val="12"/>
              </w:rPr>
            </w:pPr>
            <w:r w:rsidRPr="00877D8E">
              <w:rPr>
                <w:rFonts w:ascii="Aptos" w:hAnsi="Aptos" w:eastAsia="Aptos" w:cs="Aptos"/>
                <w:b/>
                <w:bCs/>
                <w:sz w:val="12"/>
                <w:szCs w:val="12"/>
              </w:rPr>
              <w:t>PROGRAMA</w:t>
            </w:r>
          </w:p>
        </w:tc>
        <w:tc>
          <w:tcPr>
            <w:tcW w:w="2410" w:type="dxa"/>
            <w:shd w:val="clear" w:color="auto" w:fill="D9D9D9" w:themeFill="background1" w:themeFillShade="D9"/>
            <w:tcMar>
              <w:left w:w="105" w:type="dxa"/>
              <w:right w:w="105" w:type="dxa"/>
            </w:tcMar>
            <w:vAlign w:val="center"/>
          </w:tcPr>
          <w:p w:rsidRPr="00877D8E" w:rsidR="00D60475" w:rsidP="00627E39" w:rsidRDefault="76CD7B26" w14:paraId="6A6AD600" w14:textId="77777777">
            <w:pPr>
              <w:jc w:val="center"/>
              <w:rPr>
                <w:rFonts w:ascii="Aptos" w:hAnsi="Aptos" w:eastAsia="Aptos" w:cs="Aptos"/>
                <w:b/>
                <w:bCs/>
                <w:sz w:val="12"/>
                <w:szCs w:val="12"/>
              </w:rPr>
            </w:pPr>
            <w:r w:rsidRPr="00877D8E">
              <w:rPr>
                <w:rFonts w:ascii="Aptos" w:hAnsi="Aptos" w:eastAsia="Aptos" w:cs="Aptos"/>
                <w:b/>
                <w:bCs/>
                <w:sz w:val="12"/>
                <w:szCs w:val="12"/>
              </w:rPr>
              <w:t>ESTRUCTURA</w:t>
            </w:r>
          </w:p>
          <w:p w:rsidRPr="00877D8E" w:rsidR="76CD7B26" w:rsidP="00627E39" w:rsidRDefault="76CD7B26" w14:paraId="0841ABE9" w14:textId="7FAEA7DD">
            <w:pPr>
              <w:jc w:val="center"/>
              <w:rPr>
                <w:rFonts w:ascii="Aptos" w:hAnsi="Aptos" w:eastAsia="Aptos" w:cs="Aptos"/>
                <w:sz w:val="12"/>
                <w:szCs w:val="12"/>
              </w:rPr>
            </w:pPr>
            <w:r w:rsidRPr="00877D8E">
              <w:rPr>
                <w:rFonts w:ascii="Aptos" w:hAnsi="Aptos" w:eastAsia="Aptos" w:cs="Aptos"/>
                <w:b/>
                <w:bCs/>
                <w:sz w:val="12"/>
                <w:szCs w:val="12"/>
              </w:rPr>
              <w:t>ORGANIZACIONAL</w:t>
            </w:r>
          </w:p>
        </w:tc>
        <w:tc>
          <w:tcPr>
            <w:tcW w:w="1984" w:type="dxa"/>
            <w:shd w:val="clear" w:color="auto" w:fill="D9D9D9" w:themeFill="background1" w:themeFillShade="D9"/>
            <w:tcMar>
              <w:left w:w="105" w:type="dxa"/>
              <w:right w:w="105" w:type="dxa"/>
            </w:tcMar>
            <w:vAlign w:val="center"/>
          </w:tcPr>
          <w:p w:rsidRPr="00877D8E" w:rsidR="0006291A" w:rsidP="76CD7B26" w:rsidRDefault="76CD7B26" w14:paraId="6FBFB11D" w14:textId="35F63CBA">
            <w:pPr>
              <w:jc w:val="center"/>
              <w:rPr>
                <w:rFonts w:ascii="Aptos" w:hAnsi="Aptos" w:eastAsia="Aptos" w:cs="Aptos"/>
                <w:b/>
                <w:bCs/>
                <w:sz w:val="12"/>
                <w:szCs w:val="12"/>
              </w:rPr>
            </w:pPr>
            <w:r w:rsidRPr="00877D8E">
              <w:rPr>
                <w:rFonts w:ascii="Aptos" w:hAnsi="Aptos" w:eastAsia="Aptos" w:cs="Aptos"/>
                <w:b/>
                <w:bCs/>
                <w:sz w:val="12"/>
                <w:szCs w:val="12"/>
              </w:rPr>
              <w:t xml:space="preserve">TOMA DE </w:t>
            </w:r>
          </w:p>
          <w:p w:rsidRPr="00877D8E" w:rsidR="76CD7B26" w:rsidP="76CD7B26" w:rsidRDefault="76CD7B26" w14:paraId="4D6E9BE3" w14:textId="781243CB">
            <w:pPr>
              <w:jc w:val="center"/>
              <w:rPr>
                <w:rFonts w:ascii="Aptos" w:hAnsi="Aptos" w:eastAsia="Aptos" w:cs="Aptos"/>
                <w:sz w:val="12"/>
                <w:szCs w:val="12"/>
              </w:rPr>
            </w:pPr>
            <w:r w:rsidRPr="00877D8E">
              <w:rPr>
                <w:rFonts w:ascii="Aptos" w:hAnsi="Aptos" w:eastAsia="Aptos" w:cs="Aptos"/>
                <w:b/>
                <w:bCs/>
                <w:sz w:val="12"/>
                <w:szCs w:val="12"/>
              </w:rPr>
              <w:t>DECISIONES</w:t>
            </w:r>
          </w:p>
        </w:tc>
        <w:tc>
          <w:tcPr>
            <w:tcW w:w="1985" w:type="dxa"/>
            <w:shd w:val="clear" w:color="auto" w:fill="D9D9D9" w:themeFill="background1" w:themeFillShade="D9"/>
            <w:tcMar>
              <w:left w:w="105" w:type="dxa"/>
              <w:right w:w="105" w:type="dxa"/>
            </w:tcMar>
            <w:vAlign w:val="center"/>
          </w:tcPr>
          <w:p w:rsidRPr="00877D8E" w:rsidR="00D441A2" w:rsidP="76CD7B26" w:rsidRDefault="76CD7B26" w14:paraId="76AE9D46" w14:textId="77777777">
            <w:pPr>
              <w:jc w:val="center"/>
              <w:rPr>
                <w:rFonts w:ascii="Aptos" w:hAnsi="Aptos" w:eastAsia="Aptos" w:cs="Aptos"/>
                <w:b/>
                <w:bCs/>
                <w:sz w:val="12"/>
                <w:szCs w:val="12"/>
              </w:rPr>
            </w:pPr>
            <w:r w:rsidRPr="00877D8E">
              <w:rPr>
                <w:rFonts w:ascii="Aptos" w:hAnsi="Aptos" w:eastAsia="Aptos" w:cs="Aptos"/>
                <w:b/>
                <w:bCs/>
                <w:sz w:val="12"/>
                <w:szCs w:val="12"/>
              </w:rPr>
              <w:t>SEÑALES</w:t>
            </w:r>
          </w:p>
          <w:p w:rsidRPr="00877D8E" w:rsidR="76CD7B26" w:rsidP="76CD7B26" w:rsidRDefault="76CD7B26" w14:paraId="49733070" w14:textId="59719D5B">
            <w:pPr>
              <w:jc w:val="center"/>
              <w:rPr>
                <w:rFonts w:ascii="Aptos" w:hAnsi="Aptos" w:eastAsia="Aptos" w:cs="Aptos"/>
                <w:sz w:val="12"/>
                <w:szCs w:val="12"/>
              </w:rPr>
            </w:pPr>
            <w:r w:rsidRPr="00877D8E">
              <w:rPr>
                <w:rFonts w:ascii="Aptos" w:hAnsi="Aptos" w:eastAsia="Aptos" w:cs="Aptos"/>
                <w:b/>
                <w:bCs/>
                <w:sz w:val="12"/>
                <w:szCs w:val="12"/>
              </w:rPr>
              <w:t>TEMPRANAS IGNORADAS</w:t>
            </w:r>
          </w:p>
        </w:tc>
        <w:tc>
          <w:tcPr>
            <w:tcW w:w="1984" w:type="dxa"/>
            <w:shd w:val="clear" w:color="auto" w:fill="D9D9D9" w:themeFill="background1" w:themeFillShade="D9"/>
            <w:tcMar>
              <w:left w:w="105" w:type="dxa"/>
              <w:right w:w="105" w:type="dxa"/>
            </w:tcMar>
            <w:vAlign w:val="center"/>
          </w:tcPr>
          <w:p w:rsidRPr="00877D8E" w:rsidR="76CD7B26" w:rsidP="76CD7B26" w:rsidRDefault="76CD7B26" w14:paraId="3AA329BF" w14:textId="7DBEAF16">
            <w:pPr>
              <w:jc w:val="center"/>
              <w:rPr>
                <w:rFonts w:ascii="Aptos" w:hAnsi="Aptos" w:eastAsia="Aptos" w:cs="Aptos"/>
                <w:sz w:val="12"/>
                <w:szCs w:val="12"/>
              </w:rPr>
            </w:pPr>
            <w:r w:rsidRPr="00877D8E">
              <w:rPr>
                <w:rFonts w:ascii="Aptos" w:hAnsi="Aptos" w:eastAsia="Aptos" w:cs="Aptos"/>
                <w:b/>
                <w:bCs/>
                <w:sz w:val="12"/>
                <w:szCs w:val="12"/>
              </w:rPr>
              <w:t>PROCESOS DE NORMALIZACIÓN DE RIESGOS</w:t>
            </w:r>
          </w:p>
        </w:tc>
        <w:tc>
          <w:tcPr>
            <w:tcW w:w="2127" w:type="dxa"/>
            <w:shd w:val="clear" w:color="auto" w:fill="D9D9D9" w:themeFill="background1" w:themeFillShade="D9"/>
            <w:tcMar>
              <w:left w:w="105" w:type="dxa"/>
              <w:right w:w="105" w:type="dxa"/>
            </w:tcMar>
            <w:vAlign w:val="center"/>
          </w:tcPr>
          <w:p w:rsidRPr="00877D8E" w:rsidR="76CD7B26" w:rsidP="76CD7B26" w:rsidRDefault="76CD7B26" w14:paraId="598CDA7B" w14:textId="7797A8D3">
            <w:pPr>
              <w:jc w:val="center"/>
              <w:rPr>
                <w:rFonts w:ascii="Aptos" w:hAnsi="Aptos" w:eastAsia="Aptos" w:cs="Aptos"/>
                <w:sz w:val="12"/>
                <w:szCs w:val="12"/>
              </w:rPr>
            </w:pPr>
            <w:r w:rsidRPr="00877D8E">
              <w:rPr>
                <w:rFonts w:ascii="Aptos" w:hAnsi="Aptos" w:eastAsia="Aptos" w:cs="Aptos"/>
                <w:b/>
                <w:bCs/>
                <w:sz w:val="12"/>
                <w:szCs w:val="12"/>
              </w:rPr>
              <w:t>FALLAS</w:t>
            </w:r>
            <w:r w:rsidRPr="00877D8E" w:rsidR="00286402">
              <w:rPr>
                <w:rFonts w:ascii="Aptos" w:hAnsi="Aptos" w:eastAsia="Aptos" w:cs="Aptos"/>
                <w:b/>
                <w:bCs/>
                <w:sz w:val="12"/>
                <w:szCs w:val="12"/>
              </w:rPr>
              <w:t xml:space="preserve"> </w:t>
            </w:r>
            <w:r w:rsidRPr="00877D8E">
              <w:rPr>
                <w:rFonts w:ascii="Aptos" w:hAnsi="Aptos" w:eastAsia="Aptos" w:cs="Aptos"/>
                <w:b/>
                <w:bCs/>
                <w:sz w:val="12"/>
                <w:szCs w:val="12"/>
              </w:rPr>
              <w:t>LATENTES ACUMULADAS</w:t>
            </w:r>
          </w:p>
        </w:tc>
        <w:tc>
          <w:tcPr>
            <w:tcW w:w="2126" w:type="dxa"/>
            <w:shd w:val="clear" w:color="auto" w:fill="D9D9D9" w:themeFill="background1" w:themeFillShade="D9"/>
            <w:tcMar>
              <w:left w:w="105" w:type="dxa"/>
              <w:right w:w="105" w:type="dxa"/>
            </w:tcMar>
            <w:vAlign w:val="center"/>
          </w:tcPr>
          <w:p w:rsidRPr="00877D8E" w:rsidR="00286402" w:rsidP="76CD7B26" w:rsidRDefault="76CD7B26" w14:paraId="4F3CADF1" w14:textId="77777777">
            <w:pPr>
              <w:jc w:val="center"/>
              <w:rPr>
                <w:rFonts w:ascii="Aptos" w:hAnsi="Aptos" w:eastAsia="Aptos" w:cs="Aptos"/>
                <w:b/>
                <w:bCs/>
                <w:sz w:val="12"/>
                <w:szCs w:val="12"/>
              </w:rPr>
            </w:pPr>
            <w:r w:rsidRPr="00877D8E">
              <w:rPr>
                <w:rFonts w:ascii="Aptos" w:hAnsi="Aptos" w:eastAsia="Aptos" w:cs="Aptos"/>
                <w:b/>
                <w:bCs/>
                <w:sz w:val="12"/>
                <w:szCs w:val="12"/>
              </w:rPr>
              <w:t>EVENTOS</w:t>
            </w:r>
            <w:r w:rsidRPr="00877D8E" w:rsidR="00D60475">
              <w:rPr>
                <w:rFonts w:ascii="Aptos" w:hAnsi="Aptos" w:eastAsia="Aptos" w:cs="Aptos"/>
                <w:b/>
                <w:bCs/>
                <w:sz w:val="12"/>
                <w:szCs w:val="12"/>
              </w:rPr>
              <w:t xml:space="preserve"> </w:t>
            </w:r>
          </w:p>
          <w:p w:rsidRPr="00877D8E" w:rsidR="76CD7B26" w:rsidP="76CD7B26" w:rsidRDefault="76CD7B26" w14:paraId="13999F22" w14:textId="1034A8CE">
            <w:pPr>
              <w:jc w:val="center"/>
              <w:rPr>
                <w:rFonts w:ascii="Aptos" w:hAnsi="Aptos" w:eastAsia="Aptos" w:cs="Aptos"/>
                <w:sz w:val="12"/>
                <w:szCs w:val="12"/>
              </w:rPr>
            </w:pPr>
            <w:r w:rsidRPr="00877D8E">
              <w:rPr>
                <w:rFonts w:ascii="Aptos" w:hAnsi="Aptos" w:eastAsia="Aptos" w:cs="Aptos"/>
                <w:b/>
                <w:bCs/>
                <w:sz w:val="12"/>
                <w:szCs w:val="12"/>
              </w:rPr>
              <w:t>CRÍTICOS</w:t>
            </w:r>
          </w:p>
        </w:tc>
      </w:tr>
      <w:tr w:rsidRPr="00877D8E" w:rsidR="008F1312" w:rsidTr="00877D8E" w14:paraId="5F0CF5CE" w14:textId="77777777">
        <w:trPr>
          <w:cantSplit/>
        </w:trPr>
        <w:tc>
          <w:tcPr>
            <w:tcW w:w="1135" w:type="dxa"/>
            <w:tcMar>
              <w:left w:w="105" w:type="dxa"/>
              <w:right w:w="105" w:type="dxa"/>
            </w:tcMar>
            <w:vAlign w:val="center"/>
          </w:tcPr>
          <w:p w:rsidRPr="00877D8E" w:rsidR="76CD7B26" w:rsidP="000E7553" w:rsidRDefault="5658E5E1" w14:paraId="6FCA35CA" w14:textId="5120432D">
            <w:pPr>
              <w:rPr>
                <w:b/>
                <w:bCs/>
                <w:sz w:val="12"/>
                <w:szCs w:val="12"/>
              </w:rPr>
            </w:pPr>
            <w:r w:rsidRPr="00877D8E">
              <w:rPr>
                <w:rFonts w:ascii="Aptos" w:hAnsi="Aptos" w:eastAsia="Aptos" w:cs="Aptos"/>
                <w:b/>
                <w:bCs/>
                <w:color w:val="000000" w:themeColor="text1"/>
                <w:sz w:val="12"/>
                <w:szCs w:val="12"/>
              </w:rPr>
              <w:t>Programa nuclear civil de la Unión Soviética</w:t>
            </w:r>
          </w:p>
        </w:tc>
        <w:tc>
          <w:tcPr>
            <w:tcW w:w="2410" w:type="dxa"/>
            <w:tcMar>
              <w:left w:w="105" w:type="dxa"/>
              <w:right w:w="105" w:type="dxa"/>
            </w:tcMar>
            <w:vAlign w:val="center"/>
          </w:tcPr>
          <w:p w:rsidRPr="00877D8E" w:rsidR="76CD7B26" w:rsidP="00CE43FC" w:rsidRDefault="5658E5E1" w14:paraId="38A61C7B" w14:textId="4DC33D89">
            <w:pPr>
              <w:jc w:val="both"/>
              <w:rPr>
                <w:rFonts w:ascii="Aptos" w:hAnsi="Aptos" w:eastAsia="Aptos" w:cs="Aptos"/>
                <w:sz w:val="12"/>
                <w:szCs w:val="12"/>
              </w:rPr>
            </w:pPr>
            <w:r w:rsidRPr="00877D8E">
              <w:rPr>
                <w:rFonts w:ascii="Aptos" w:hAnsi="Aptos" w:eastAsia="Aptos" w:cs="Aptos"/>
                <w:color w:val="000000" w:themeColor="text1"/>
                <w:sz w:val="12"/>
                <w:szCs w:val="12"/>
              </w:rPr>
              <w:t>El programa operaba bajo un modelo altamente centralizado, con jerarquías verticales y fuerte control estatal. La toma de decisiones estratégicas se concentraba en niveles superiores, mientras que los operadores tenían margen limitado para cuestionar directrices técnicas o administrativas.</w:t>
            </w:r>
            <w:r w:rsidRPr="00877D8E" w:rsidR="00FB7C30">
              <w:rPr>
                <w:sz w:val="12"/>
                <w:szCs w:val="12"/>
              </w:rPr>
              <w:t xml:space="preserve"> </w:t>
            </w:r>
            <w:r w:rsidRPr="00877D8E">
              <w:rPr>
                <w:rFonts w:ascii="Aptos" w:hAnsi="Aptos" w:eastAsia="Aptos" w:cs="Aptos"/>
                <w:color w:val="000000" w:themeColor="text1"/>
                <w:sz w:val="12"/>
                <w:szCs w:val="12"/>
              </w:rPr>
              <w:t>La regulación y supervisión no estaban plenamente separadas del aparato operativo, lo que reducía la independencia del control. Existía fragmentación entre diseño, operación y supervisión técnica, dificultando la integración sistémica del conocimiento sobre riesgos.</w:t>
            </w:r>
          </w:p>
        </w:tc>
        <w:tc>
          <w:tcPr>
            <w:tcW w:w="1984" w:type="dxa"/>
            <w:tcMar>
              <w:left w:w="105" w:type="dxa"/>
              <w:right w:w="105" w:type="dxa"/>
            </w:tcMar>
            <w:vAlign w:val="center"/>
          </w:tcPr>
          <w:p w:rsidRPr="00877D8E" w:rsidR="76CD7B26" w:rsidP="00CE43FC" w:rsidRDefault="00CE43FC" w14:paraId="04C87711" w14:textId="324D1F13">
            <w:pPr>
              <w:jc w:val="both"/>
              <w:rPr>
                <w:sz w:val="12"/>
                <w:szCs w:val="12"/>
              </w:rPr>
            </w:pPr>
            <w:r w:rsidRPr="00877D8E">
              <w:rPr>
                <w:rFonts w:ascii="Aptos" w:hAnsi="Aptos" w:eastAsia="Aptos" w:cs="Aptos"/>
                <w:color w:val="000000" w:themeColor="text1"/>
                <w:sz w:val="12"/>
                <w:szCs w:val="12"/>
              </w:rPr>
              <w:t>L</w:t>
            </w:r>
            <w:r w:rsidRPr="00877D8E" w:rsidR="5658E5E1">
              <w:rPr>
                <w:rFonts w:ascii="Aptos" w:hAnsi="Aptos" w:eastAsia="Aptos" w:cs="Aptos"/>
                <w:color w:val="000000" w:themeColor="text1"/>
                <w:sz w:val="12"/>
                <w:szCs w:val="12"/>
              </w:rPr>
              <w:t>a prueba de seguridad realizada el 26 de abril de 1986 se ejecutó bajo condiciones operativas inestables. La decisión de continuar respondió a:</w:t>
            </w:r>
            <w:r w:rsidRPr="00877D8E" w:rsidR="00794FC2">
              <w:rPr>
                <w:rFonts w:ascii="Aptos" w:hAnsi="Aptos" w:eastAsia="Aptos" w:cs="Aptos"/>
                <w:color w:val="000000" w:themeColor="text1"/>
                <w:sz w:val="12"/>
                <w:szCs w:val="12"/>
              </w:rPr>
              <w:t xml:space="preserve"> </w:t>
            </w:r>
            <w:r w:rsidRPr="00877D8E" w:rsidR="5658E5E1">
              <w:rPr>
                <w:rFonts w:ascii="Aptos" w:hAnsi="Aptos" w:eastAsia="Aptos" w:cs="Aptos"/>
                <w:color w:val="000000" w:themeColor="text1"/>
                <w:sz w:val="12"/>
                <w:szCs w:val="12"/>
              </w:rPr>
              <w:t>Presiones por cumplimiento del cronograma</w:t>
            </w:r>
            <w:r w:rsidRPr="00877D8E" w:rsidR="00794FC2">
              <w:rPr>
                <w:rFonts w:ascii="Aptos" w:hAnsi="Aptos" w:eastAsia="Aptos" w:cs="Aptos"/>
                <w:color w:val="000000" w:themeColor="text1"/>
                <w:sz w:val="12"/>
                <w:szCs w:val="12"/>
              </w:rPr>
              <w:t xml:space="preserve">, </w:t>
            </w:r>
            <w:r w:rsidRPr="00877D8E" w:rsidR="5658E5E1">
              <w:rPr>
                <w:rFonts w:ascii="Aptos" w:hAnsi="Aptos" w:eastAsia="Aptos" w:cs="Aptos"/>
                <w:color w:val="000000" w:themeColor="text1"/>
                <w:sz w:val="12"/>
                <w:szCs w:val="12"/>
              </w:rPr>
              <w:t>Necesidad de completar la prueba antes de una parada programada</w:t>
            </w:r>
            <w:r w:rsidRPr="00877D8E" w:rsidR="00794FC2">
              <w:rPr>
                <w:rFonts w:ascii="Aptos" w:hAnsi="Aptos" w:eastAsia="Aptos" w:cs="Aptos"/>
                <w:color w:val="000000" w:themeColor="text1"/>
                <w:sz w:val="12"/>
                <w:szCs w:val="12"/>
              </w:rPr>
              <w:t xml:space="preserve">, </w:t>
            </w:r>
            <w:r w:rsidRPr="00877D8E" w:rsidR="5658E5E1">
              <w:rPr>
                <w:rFonts w:ascii="Aptos" w:hAnsi="Aptos" w:eastAsia="Aptos" w:cs="Aptos"/>
                <w:color w:val="000000" w:themeColor="text1"/>
                <w:sz w:val="12"/>
                <w:szCs w:val="12"/>
              </w:rPr>
              <w:t>Cultura institucional orientada a cumplir objetivos técnicos planificados.</w:t>
            </w:r>
            <w:r w:rsidRPr="00877D8E" w:rsidR="00FB7C30">
              <w:rPr>
                <w:rFonts w:ascii="Aptos" w:hAnsi="Aptos" w:eastAsia="Aptos" w:cs="Aptos"/>
                <w:color w:val="000000" w:themeColor="text1"/>
                <w:sz w:val="12"/>
                <w:szCs w:val="12"/>
              </w:rPr>
              <w:t xml:space="preserve"> </w:t>
            </w:r>
            <w:r w:rsidRPr="00877D8E" w:rsidR="5658E5E1">
              <w:rPr>
                <w:rFonts w:ascii="Aptos" w:hAnsi="Aptos" w:eastAsia="Aptos" w:cs="Aptos"/>
                <w:color w:val="000000" w:themeColor="text1"/>
                <w:sz w:val="12"/>
                <w:szCs w:val="12"/>
              </w:rPr>
              <w:t>Se priorizó la continuidad operativa sobre la reevaluación integral del riesgo. La toma de decisiones estuvo condicionada por una lógica jerárquica que limitaba la deliberación crítica.</w:t>
            </w:r>
          </w:p>
        </w:tc>
        <w:tc>
          <w:tcPr>
            <w:tcW w:w="1985" w:type="dxa"/>
            <w:tcMar>
              <w:left w:w="105" w:type="dxa"/>
              <w:right w:w="105" w:type="dxa"/>
            </w:tcMar>
            <w:vAlign w:val="center"/>
          </w:tcPr>
          <w:p w:rsidRPr="00877D8E" w:rsidR="2C558EB6" w:rsidP="00CE43FC" w:rsidRDefault="00D60475" w14:paraId="38440BF2" w14:textId="2C70DD69">
            <w:pPr>
              <w:jc w:val="both"/>
              <w:rPr>
                <w:sz w:val="12"/>
                <w:szCs w:val="12"/>
              </w:rPr>
            </w:pPr>
            <w:r w:rsidRPr="00877D8E">
              <w:rPr>
                <w:rFonts w:ascii="Aptos" w:hAnsi="Aptos" w:eastAsia="Aptos" w:cs="Aptos"/>
                <w:color w:val="000000" w:themeColor="text1"/>
                <w:sz w:val="12"/>
                <w:szCs w:val="12"/>
              </w:rPr>
              <w:t>A</w:t>
            </w:r>
            <w:r w:rsidRPr="00877D8E" w:rsidR="2C558EB6">
              <w:rPr>
                <w:rFonts w:ascii="Aptos" w:hAnsi="Aptos" w:eastAsia="Aptos" w:cs="Aptos"/>
                <w:color w:val="000000" w:themeColor="text1"/>
                <w:sz w:val="12"/>
                <w:szCs w:val="12"/>
              </w:rPr>
              <w:t>ntes del evento crítico se presentaron:</w:t>
            </w:r>
            <w:r w:rsidRPr="00877D8E" w:rsidR="00EF4693">
              <w:rPr>
                <w:rFonts w:ascii="Aptos" w:hAnsi="Aptos" w:eastAsia="Aptos" w:cs="Aptos"/>
                <w:color w:val="000000" w:themeColor="text1"/>
                <w:sz w:val="12"/>
                <w:szCs w:val="12"/>
              </w:rPr>
              <w:t xml:space="preserve"> </w:t>
            </w:r>
            <w:r w:rsidRPr="00877D8E" w:rsidR="2C558EB6">
              <w:rPr>
                <w:rFonts w:ascii="Aptos" w:hAnsi="Aptos" w:eastAsia="Aptos" w:cs="Aptos"/>
                <w:color w:val="000000" w:themeColor="text1"/>
                <w:sz w:val="12"/>
                <w:szCs w:val="12"/>
              </w:rPr>
              <w:t>Condiciones de operación a baja potencia inestables</w:t>
            </w:r>
            <w:r w:rsidRPr="00877D8E" w:rsidR="00EF4693">
              <w:rPr>
                <w:rFonts w:ascii="Aptos" w:hAnsi="Aptos" w:eastAsia="Aptos" w:cs="Aptos"/>
                <w:color w:val="000000" w:themeColor="text1"/>
                <w:sz w:val="12"/>
                <w:szCs w:val="12"/>
              </w:rPr>
              <w:t xml:space="preserve">, </w:t>
            </w:r>
            <w:r w:rsidRPr="00877D8E" w:rsidR="2C558EB6">
              <w:rPr>
                <w:rFonts w:ascii="Aptos" w:hAnsi="Aptos" w:eastAsia="Aptos" w:cs="Aptos"/>
                <w:color w:val="000000" w:themeColor="text1"/>
                <w:sz w:val="12"/>
                <w:szCs w:val="12"/>
              </w:rPr>
              <w:t>Necesidad de maniobras compensatorias</w:t>
            </w:r>
            <w:r w:rsidRPr="00877D8E" w:rsidR="00EF4693">
              <w:rPr>
                <w:rFonts w:ascii="Aptos" w:hAnsi="Aptos" w:eastAsia="Aptos" w:cs="Aptos"/>
                <w:color w:val="000000" w:themeColor="text1"/>
                <w:sz w:val="12"/>
                <w:szCs w:val="12"/>
              </w:rPr>
              <w:t xml:space="preserve">, </w:t>
            </w:r>
            <w:r w:rsidRPr="00877D8E" w:rsidR="2C558EB6">
              <w:rPr>
                <w:rFonts w:ascii="Aptos" w:hAnsi="Aptos" w:eastAsia="Aptos" w:cs="Aptos"/>
                <w:color w:val="000000" w:themeColor="text1"/>
                <w:sz w:val="12"/>
                <w:szCs w:val="12"/>
              </w:rPr>
              <w:t>Alarmas y parámetros fuera de rango esperado</w:t>
            </w:r>
            <w:r w:rsidRPr="00877D8E" w:rsidR="00EF4693">
              <w:rPr>
                <w:rFonts w:ascii="Aptos" w:hAnsi="Aptos" w:eastAsia="Aptos" w:cs="Aptos"/>
                <w:color w:val="000000" w:themeColor="text1"/>
                <w:sz w:val="12"/>
                <w:szCs w:val="12"/>
              </w:rPr>
              <w:t xml:space="preserve">, </w:t>
            </w:r>
            <w:r w:rsidRPr="00877D8E" w:rsidR="2C558EB6">
              <w:rPr>
                <w:rFonts w:ascii="Aptos" w:hAnsi="Aptos" w:eastAsia="Aptos" w:cs="Aptos"/>
                <w:color w:val="000000" w:themeColor="text1"/>
                <w:sz w:val="12"/>
                <w:szCs w:val="12"/>
              </w:rPr>
              <w:t>Información previa sobre vulnerabilidades del diseño RBMK.</w:t>
            </w:r>
            <w:r w:rsidRPr="00877D8E" w:rsidR="00FB7C30">
              <w:rPr>
                <w:sz w:val="12"/>
                <w:szCs w:val="12"/>
              </w:rPr>
              <w:t xml:space="preserve"> </w:t>
            </w:r>
            <w:r w:rsidRPr="00877D8E" w:rsidR="2C558EB6">
              <w:rPr>
                <w:rFonts w:ascii="Aptos" w:hAnsi="Aptos" w:eastAsia="Aptos" w:cs="Aptos"/>
                <w:color w:val="000000" w:themeColor="text1"/>
                <w:sz w:val="12"/>
                <w:szCs w:val="12"/>
              </w:rPr>
              <w:t>Estas señales fueron interpretadas como situaciones controlables dentro de la experiencia operativa habitual. No se activaron mecanismos de detención preventiva.</w:t>
            </w:r>
          </w:p>
          <w:p w:rsidRPr="00877D8E" w:rsidR="76CD7B26" w:rsidP="00CE43FC" w:rsidRDefault="76CD7B26" w14:paraId="4BC936FD" w14:textId="6E3F19A6">
            <w:pPr>
              <w:jc w:val="both"/>
              <w:rPr>
                <w:rFonts w:ascii="Aptos" w:hAnsi="Aptos" w:eastAsia="Aptos" w:cs="Aptos"/>
                <w:sz w:val="12"/>
                <w:szCs w:val="12"/>
              </w:rPr>
            </w:pPr>
          </w:p>
        </w:tc>
        <w:tc>
          <w:tcPr>
            <w:tcW w:w="1984" w:type="dxa"/>
            <w:tcMar>
              <w:left w:w="105" w:type="dxa"/>
              <w:right w:w="105" w:type="dxa"/>
            </w:tcMar>
            <w:vAlign w:val="center"/>
          </w:tcPr>
          <w:p w:rsidRPr="00877D8E" w:rsidR="76CD7B26" w:rsidP="00CE43FC" w:rsidRDefault="2C558EB6" w14:paraId="5223A150" w14:textId="29705A88">
            <w:pPr>
              <w:jc w:val="both"/>
              <w:rPr>
                <w:rFonts w:ascii="Aptos" w:hAnsi="Aptos" w:eastAsia="Aptos" w:cs="Aptos"/>
                <w:sz w:val="12"/>
                <w:szCs w:val="12"/>
              </w:rPr>
            </w:pPr>
            <w:r w:rsidRPr="00877D8E">
              <w:rPr>
                <w:rFonts w:ascii="Aptos" w:hAnsi="Aptos" w:eastAsia="Aptos" w:cs="Aptos"/>
                <w:color w:val="000000" w:themeColor="text1"/>
                <w:sz w:val="12"/>
                <w:szCs w:val="12"/>
              </w:rPr>
              <w:t>Se observa un proceso progresivo de aceptación de condiciones subóptimas como parte de la rutina operativa</w:t>
            </w:r>
            <w:r w:rsidRPr="00877D8E" w:rsidR="00514437">
              <w:rPr>
                <w:rFonts w:ascii="Aptos" w:hAnsi="Aptos" w:eastAsia="Aptos" w:cs="Aptos"/>
                <w:color w:val="000000" w:themeColor="text1"/>
                <w:sz w:val="12"/>
                <w:szCs w:val="12"/>
              </w:rPr>
              <w:t>:</w:t>
            </w:r>
            <w:r w:rsidRPr="00877D8E" w:rsidR="00FB7C30">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Redefinición informal de márgenes de seguridad</w:t>
            </w:r>
            <w:r w:rsidRPr="00877D8E" w:rsidR="00FB7C30">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Confianza excesiva en la capacidad de control técnico</w:t>
            </w:r>
            <w:r w:rsidRPr="00877D8E" w:rsidR="00FB7C30">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Prioridad al cumplimiento del plan sobre la precaución</w:t>
            </w:r>
            <w:r w:rsidRPr="00877D8E" w:rsidR="00FB7C30">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Minimización de desviaciones consideradas “manejables”.</w:t>
            </w:r>
            <w:r w:rsidRPr="00877D8E" w:rsidR="00FB7C30">
              <w:rPr>
                <w:sz w:val="12"/>
                <w:szCs w:val="12"/>
              </w:rPr>
              <w:t xml:space="preserve"> </w:t>
            </w:r>
            <w:r w:rsidRPr="00877D8E">
              <w:rPr>
                <w:rFonts w:ascii="Aptos" w:hAnsi="Aptos" w:eastAsia="Aptos" w:cs="Aptos"/>
                <w:color w:val="000000" w:themeColor="text1"/>
                <w:sz w:val="12"/>
                <w:szCs w:val="12"/>
              </w:rPr>
              <w:t>Lo que inicialmente</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constituía una anomalía operativa pasó a ser percibido como práctica tolerable.</w:t>
            </w:r>
          </w:p>
        </w:tc>
        <w:tc>
          <w:tcPr>
            <w:tcW w:w="2127" w:type="dxa"/>
            <w:tcMar>
              <w:left w:w="105" w:type="dxa"/>
              <w:right w:w="105" w:type="dxa"/>
            </w:tcMar>
            <w:vAlign w:val="center"/>
          </w:tcPr>
          <w:p w:rsidRPr="00877D8E" w:rsidR="5A422878" w:rsidP="00CE43FC" w:rsidRDefault="5A422878" w14:paraId="76F5563A" w14:textId="4FC1FA73">
            <w:pPr>
              <w:jc w:val="both"/>
              <w:rPr>
                <w:sz w:val="12"/>
                <w:szCs w:val="12"/>
              </w:rPr>
            </w:pPr>
            <w:r w:rsidRPr="00877D8E">
              <w:rPr>
                <w:rFonts w:ascii="Aptos" w:hAnsi="Aptos" w:eastAsia="Aptos" w:cs="Aptos"/>
                <w:color w:val="000000" w:themeColor="text1"/>
                <w:sz w:val="12"/>
                <w:szCs w:val="12"/>
              </w:rPr>
              <w:t xml:space="preserve">Entre las fallas estructurales que permanecieron sin corrección se </w:t>
            </w:r>
            <w:r w:rsidRPr="00877D8E" w:rsidR="00627E39">
              <w:rPr>
                <w:rFonts w:ascii="Aptos" w:hAnsi="Aptos" w:eastAsia="Aptos" w:cs="Aptos"/>
                <w:color w:val="000000" w:themeColor="text1"/>
                <w:sz w:val="12"/>
                <w:szCs w:val="12"/>
              </w:rPr>
              <w:t>identifican: Vulnerabilidades</w:t>
            </w:r>
            <w:r w:rsidRPr="00877D8E">
              <w:rPr>
                <w:rFonts w:ascii="Aptos" w:hAnsi="Aptos" w:eastAsia="Aptos" w:cs="Aptos"/>
                <w:color w:val="000000" w:themeColor="text1"/>
                <w:sz w:val="12"/>
                <w:szCs w:val="12"/>
              </w:rPr>
              <w:t xml:space="preserve"> de diseño del reactor </w:t>
            </w:r>
            <w:r w:rsidRPr="00877D8E" w:rsidR="00627E39">
              <w:rPr>
                <w:rFonts w:ascii="Aptos" w:hAnsi="Aptos" w:eastAsia="Aptos" w:cs="Aptos"/>
                <w:color w:val="000000" w:themeColor="text1"/>
                <w:sz w:val="12"/>
                <w:szCs w:val="12"/>
              </w:rPr>
              <w:t>RBMK, Insuficiente</w:t>
            </w:r>
            <w:r w:rsidRPr="00877D8E">
              <w:rPr>
                <w:rFonts w:ascii="Aptos" w:hAnsi="Aptos" w:eastAsia="Aptos" w:cs="Aptos"/>
                <w:color w:val="000000" w:themeColor="text1"/>
                <w:sz w:val="12"/>
                <w:szCs w:val="12"/>
              </w:rPr>
              <w:t xml:space="preserve"> transferencia de conocimiento técnico a operadores</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Deficiencias en cultura de seguridad institucional</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Supervisión regulatoria débil o no independiente</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Ausencia de evaluación integral de escenarios extremos.</w:t>
            </w:r>
            <w:r w:rsidRPr="00877D8E" w:rsidR="00627E39">
              <w:rPr>
                <w:sz w:val="12"/>
                <w:szCs w:val="12"/>
              </w:rPr>
              <w:t xml:space="preserve"> </w:t>
            </w:r>
            <w:r w:rsidRPr="00877D8E">
              <w:rPr>
                <w:rFonts w:ascii="Aptos" w:hAnsi="Aptos" w:eastAsia="Aptos" w:cs="Aptos"/>
                <w:color w:val="000000" w:themeColor="text1"/>
                <w:sz w:val="12"/>
                <w:szCs w:val="12"/>
              </w:rPr>
              <w:t>Estas condiciones permanecieron invisibles hasta que se alinearon con decisiones operativas críticas.</w:t>
            </w:r>
          </w:p>
          <w:p w:rsidRPr="00877D8E" w:rsidR="76CD7B26" w:rsidP="00CE43FC" w:rsidRDefault="76CD7B26" w14:paraId="38F8DAF3" w14:textId="20F8141C">
            <w:pPr>
              <w:jc w:val="both"/>
              <w:rPr>
                <w:rFonts w:ascii="Aptos" w:hAnsi="Aptos" w:eastAsia="Aptos" w:cs="Aptos"/>
                <w:sz w:val="12"/>
                <w:szCs w:val="12"/>
              </w:rPr>
            </w:pPr>
          </w:p>
        </w:tc>
        <w:tc>
          <w:tcPr>
            <w:tcW w:w="2126" w:type="dxa"/>
            <w:tcMar>
              <w:left w:w="105" w:type="dxa"/>
              <w:right w:w="105" w:type="dxa"/>
            </w:tcMar>
            <w:vAlign w:val="center"/>
          </w:tcPr>
          <w:p w:rsidRPr="00877D8E" w:rsidR="76CD7B26" w:rsidP="00CE43FC" w:rsidRDefault="556CEB8D" w14:paraId="7DD0F03B" w14:textId="0300DD11">
            <w:pPr>
              <w:jc w:val="both"/>
              <w:rPr>
                <w:sz w:val="12"/>
                <w:szCs w:val="12"/>
              </w:rPr>
            </w:pPr>
            <w:r w:rsidRPr="00877D8E">
              <w:rPr>
                <w:rFonts w:ascii="Aptos" w:hAnsi="Aptos" w:eastAsia="Aptos" w:cs="Aptos"/>
                <w:color w:val="000000" w:themeColor="text1"/>
                <w:sz w:val="12"/>
                <w:szCs w:val="12"/>
              </w:rPr>
              <w:t>Durante la ejecución de la prueba, la combinación de inestabilidad del reactor, decisiones operativas y características de diseño produjo un incremento súbito de potencia que culminó en la explosión del reactor 4.</w:t>
            </w:r>
            <w:r w:rsidRPr="00877D8E" w:rsidR="00627E39">
              <w:rPr>
                <w:sz w:val="12"/>
                <w:szCs w:val="12"/>
              </w:rPr>
              <w:t xml:space="preserve"> </w:t>
            </w:r>
            <w:r w:rsidRPr="00877D8E">
              <w:rPr>
                <w:rFonts w:ascii="Aptos" w:hAnsi="Aptos" w:eastAsia="Aptos" w:cs="Aptos"/>
                <w:color w:val="000000" w:themeColor="text1"/>
                <w:sz w:val="12"/>
                <w:szCs w:val="12"/>
              </w:rPr>
              <w:t>El evento no fue un hecho aislado e imprevisible, sino el punto de ruptura de un proceso de degradación progresiva. La explosión reveló la fragilidad estructural del sistema organizacional que sostenía el programa.</w:t>
            </w:r>
          </w:p>
          <w:p w:rsidRPr="00877D8E" w:rsidR="76CD7B26" w:rsidP="00CE43FC" w:rsidRDefault="76CD7B26" w14:paraId="662ADE18" w14:textId="634A8D21">
            <w:pPr>
              <w:jc w:val="both"/>
              <w:rPr>
                <w:rFonts w:ascii="Aptos" w:hAnsi="Aptos" w:eastAsia="Aptos" w:cs="Aptos"/>
                <w:sz w:val="12"/>
                <w:szCs w:val="12"/>
              </w:rPr>
            </w:pPr>
          </w:p>
        </w:tc>
      </w:tr>
      <w:tr w:rsidRPr="00877D8E" w:rsidR="008F1312" w:rsidTr="00877D8E" w14:paraId="5D0825DC" w14:textId="77777777">
        <w:trPr>
          <w:cantSplit/>
          <w:trHeight w:val="3000"/>
        </w:trPr>
        <w:tc>
          <w:tcPr>
            <w:tcW w:w="1135" w:type="dxa"/>
            <w:tcMar>
              <w:left w:w="105" w:type="dxa"/>
              <w:right w:w="105" w:type="dxa"/>
            </w:tcMar>
            <w:vAlign w:val="center"/>
          </w:tcPr>
          <w:p w:rsidRPr="00877D8E" w:rsidR="46D6E503" w:rsidP="000E7553" w:rsidRDefault="00B81CB6" w14:paraId="72BEF293" w14:textId="1FB71A9C">
            <w:pPr>
              <w:spacing w:before="240" w:after="240"/>
              <w:rPr>
                <w:b/>
                <w:bCs/>
                <w:sz w:val="12"/>
                <w:szCs w:val="12"/>
              </w:rPr>
            </w:pPr>
            <w:r w:rsidRPr="00877D8E">
              <w:rPr>
                <w:rFonts w:ascii="Aptos" w:hAnsi="Aptos" w:eastAsia="Aptos" w:cs="Aptos"/>
                <w:b/>
                <w:bCs/>
                <w:color w:val="000000" w:themeColor="text1"/>
                <w:sz w:val="12"/>
                <w:szCs w:val="12"/>
              </w:rPr>
              <w:t xml:space="preserve">Caso </w:t>
            </w:r>
            <w:proofErr w:type="spellStart"/>
            <w:r w:rsidRPr="00877D8E">
              <w:rPr>
                <w:rFonts w:ascii="Aptos" w:hAnsi="Aptos" w:eastAsia="Aptos" w:cs="Aptos"/>
                <w:b/>
                <w:bCs/>
                <w:color w:val="000000" w:themeColor="text1"/>
                <w:sz w:val="12"/>
                <w:szCs w:val="12"/>
              </w:rPr>
              <w:t>Deepwater</w:t>
            </w:r>
            <w:proofErr w:type="spellEnd"/>
            <w:r w:rsidRPr="00877D8E">
              <w:rPr>
                <w:rFonts w:ascii="Aptos" w:hAnsi="Aptos" w:eastAsia="Aptos" w:cs="Aptos"/>
                <w:b/>
                <w:bCs/>
                <w:color w:val="000000" w:themeColor="text1"/>
                <w:sz w:val="12"/>
                <w:szCs w:val="12"/>
              </w:rPr>
              <w:t xml:space="preserve"> Horizon</w:t>
            </w:r>
          </w:p>
          <w:p w:rsidRPr="00877D8E" w:rsidR="76CD7B26" w:rsidP="000E7553" w:rsidRDefault="76CD7B26" w14:paraId="4DDAFE2B" w14:textId="306C225F">
            <w:pPr>
              <w:rPr>
                <w:rFonts w:ascii="Aptos" w:hAnsi="Aptos" w:eastAsia="Aptos" w:cs="Aptos"/>
                <w:b/>
                <w:bCs/>
                <w:sz w:val="12"/>
                <w:szCs w:val="12"/>
              </w:rPr>
            </w:pPr>
          </w:p>
        </w:tc>
        <w:tc>
          <w:tcPr>
            <w:tcW w:w="2410" w:type="dxa"/>
            <w:tcMar>
              <w:left w:w="105" w:type="dxa"/>
              <w:right w:w="105" w:type="dxa"/>
            </w:tcMar>
            <w:vAlign w:val="center"/>
          </w:tcPr>
          <w:p w:rsidRPr="00877D8E" w:rsidR="0E503493" w:rsidP="007130D8" w:rsidRDefault="0E503493" w14:paraId="136CDBD0" w14:textId="3C3E4EDD">
            <w:pPr>
              <w:spacing w:before="240" w:after="240"/>
              <w:jc w:val="both"/>
              <w:rPr>
                <w:sz w:val="12"/>
                <w:szCs w:val="12"/>
              </w:rPr>
            </w:pPr>
            <w:r w:rsidRPr="00877D8E">
              <w:rPr>
                <w:rFonts w:ascii="Aptos" w:hAnsi="Aptos" w:eastAsia="Aptos" w:cs="Aptos"/>
                <w:color w:val="000000" w:themeColor="text1"/>
                <w:sz w:val="12"/>
                <w:szCs w:val="12"/>
              </w:rPr>
              <w:t>La estructura era interorganizacional y contractual. No existía una sola cadena de mando integrada, sino múltiples actores con responsabilidades diferenciadas. Esta fragmentación generaba:</w:t>
            </w:r>
            <w:r w:rsidRPr="00877D8E" w:rsidR="00BF2C16">
              <w:rPr>
                <w:sz w:val="12"/>
                <w:szCs w:val="12"/>
              </w:rPr>
              <w:t xml:space="preserve"> </w:t>
            </w:r>
            <w:r w:rsidRPr="00877D8E">
              <w:rPr>
                <w:rFonts w:ascii="Aptos" w:hAnsi="Aptos" w:eastAsia="Aptos" w:cs="Aptos"/>
                <w:color w:val="000000" w:themeColor="text1"/>
                <w:sz w:val="12"/>
                <w:szCs w:val="12"/>
              </w:rPr>
              <w:t>Distribución difusa de responsabilidades críticas</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Dependencia de coordinación entre empresas</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Diferencias en criterios técnicos y prioridades operativas</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Separación entre operador, contratistas y supervisión regulatoria.</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La gobernanza del riesgo estaba dispersa entre varias organizaciones, lo que aumentaba la complejidad del control sistémico.</w:t>
            </w:r>
          </w:p>
          <w:p w:rsidRPr="00877D8E" w:rsidR="76CD7B26" w:rsidP="007130D8" w:rsidRDefault="76CD7B26" w14:paraId="27B2ACF1" w14:textId="1AE25A14">
            <w:pPr>
              <w:jc w:val="both"/>
              <w:rPr>
                <w:rFonts w:ascii="Aptos" w:hAnsi="Aptos" w:eastAsia="Aptos" w:cs="Aptos"/>
                <w:sz w:val="12"/>
                <w:szCs w:val="12"/>
              </w:rPr>
            </w:pPr>
          </w:p>
        </w:tc>
        <w:tc>
          <w:tcPr>
            <w:tcW w:w="1984" w:type="dxa"/>
            <w:tcMar>
              <w:left w:w="105" w:type="dxa"/>
              <w:right w:w="105" w:type="dxa"/>
            </w:tcMar>
            <w:vAlign w:val="center"/>
          </w:tcPr>
          <w:p w:rsidRPr="00877D8E" w:rsidR="76CD7B26" w:rsidP="007130D8" w:rsidRDefault="0E503493" w14:paraId="7722CC65" w14:textId="19C893AF">
            <w:pPr>
              <w:spacing w:before="240" w:after="240"/>
              <w:jc w:val="both"/>
              <w:rPr>
                <w:sz w:val="12"/>
                <w:szCs w:val="12"/>
              </w:rPr>
            </w:pPr>
            <w:r w:rsidRPr="00877D8E">
              <w:rPr>
                <w:rFonts w:ascii="Aptos" w:hAnsi="Aptos" w:eastAsia="Aptos" w:cs="Aptos"/>
                <w:color w:val="000000" w:themeColor="text1"/>
                <w:sz w:val="12"/>
                <w:szCs w:val="12"/>
              </w:rPr>
              <w:t>En los días previos al accidente se tomaron decisiones técnicas relevantes relacionadas con:</w:t>
            </w:r>
            <w:r w:rsidRPr="00877D8E" w:rsidR="00627E39">
              <w:rPr>
                <w:sz w:val="12"/>
                <w:szCs w:val="12"/>
              </w:rPr>
              <w:t xml:space="preserve"> </w:t>
            </w:r>
            <w:r w:rsidRPr="00877D8E">
              <w:rPr>
                <w:rFonts w:ascii="Aptos" w:hAnsi="Aptos" w:eastAsia="Aptos" w:cs="Aptos"/>
                <w:color w:val="000000" w:themeColor="text1"/>
                <w:sz w:val="12"/>
                <w:szCs w:val="12"/>
              </w:rPr>
              <w:t>Diseño del pozo</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Procedimientos de cementación</w:t>
            </w:r>
            <w:r w:rsidRPr="00877D8E" w:rsidR="00627E39">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Interpretación de pruebas de presión</w:t>
            </w:r>
            <w:r w:rsidRPr="00877D8E" w:rsidR="00C95A73">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Sustitución del fluido de perforación por agua de mar.</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Diversas investigaciones posteriores evidenciaron que algunas decisiones estuvieron influenciadas por presiones de tiempo y reducción de costos. La evaluación del riesgo no fue suficientemente conservadora frente a señales ambiguas.</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La dinámica decisional mostró una tendencia a interpretar resultados dudosos como aceptables para continuar la operación.</w:t>
            </w:r>
          </w:p>
        </w:tc>
        <w:tc>
          <w:tcPr>
            <w:tcW w:w="1985" w:type="dxa"/>
            <w:tcMar>
              <w:left w:w="105" w:type="dxa"/>
              <w:right w:w="105" w:type="dxa"/>
            </w:tcMar>
            <w:vAlign w:val="center"/>
          </w:tcPr>
          <w:p w:rsidRPr="00877D8E" w:rsidR="0E503493" w:rsidP="007130D8" w:rsidRDefault="0E503493" w14:paraId="5A9F54BA" w14:textId="6F6C9EF2">
            <w:pPr>
              <w:spacing w:before="240" w:after="240"/>
              <w:jc w:val="both"/>
              <w:rPr>
                <w:sz w:val="12"/>
                <w:szCs w:val="12"/>
              </w:rPr>
            </w:pPr>
            <w:r w:rsidRPr="00877D8E">
              <w:rPr>
                <w:rFonts w:ascii="Aptos" w:hAnsi="Aptos" w:eastAsia="Aptos" w:cs="Aptos"/>
                <w:color w:val="000000" w:themeColor="text1"/>
                <w:sz w:val="12"/>
                <w:szCs w:val="12"/>
              </w:rPr>
              <w:t>Antes de la explosión se presentaron:</w:t>
            </w:r>
            <w:r w:rsidRPr="00877D8E" w:rsidR="002C6D32">
              <w:rPr>
                <w:sz w:val="12"/>
                <w:szCs w:val="12"/>
              </w:rPr>
              <w:t xml:space="preserve"> </w:t>
            </w:r>
            <w:r w:rsidRPr="00877D8E">
              <w:rPr>
                <w:rFonts w:ascii="Aptos" w:hAnsi="Aptos" w:eastAsia="Aptos" w:cs="Aptos"/>
                <w:color w:val="000000" w:themeColor="text1"/>
                <w:sz w:val="12"/>
                <w:szCs w:val="12"/>
              </w:rPr>
              <w:t>Resultados anómalos en pruebas de presión negativa</w:t>
            </w:r>
            <w:r w:rsidRPr="00877D8E" w:rsidR="002C6D32">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Indicadores inconsistentes sobre integridad del pozo</w:t>
            </w:r>
            <w:r w:rsidRPr="00877D8E" w:rsidR="00357F94">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Debates técnicos no resueltos entre equipos.</w:t>
            </w:r>
            <w:r w:rsidRPr="00877D8E" w:rsidR="00531675">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Estas señales fueron interpretadas bajo una lógica de continuidad operativa. La ambigüedad técnica favoreció decisiones optimistas sobre la estabilidad del pozo.</w:t>
            </w:r>
          </w:p>
          <w:p w:rsidRPr="00877D8E" w:rsidR="76CD7B26" w:rsidP="007130D8" w:rsidRDefault="76CD7B26" w14:paraId="2C9DA341" w14:textId="382423A5">
            <w:pPr>
              <w:jc w:val="both"/>
              <w:rPr>
                <w:rFonts w:ascii="Aptos" w:hAnsi="Aptos" w:eastAsia="Aptos" w:cs="Aptos"/>
                <w:sz w:val="12"/>
                <w:szCs w:val="12"/>
              </w:rPr>
            </w:pPr>
          </w:p>
        </w:tc>
        <w:tc>
          <w:tcPr>
            <w:tcW w:w="1984" w:type="dxa"/>
            <w:tcMar>
              <w:left w:w="105" w:type="dxa"/>
              <w:right w:w="105" w:type="dxa"/>
            </w:tcMar>
            <w:vAlign w:val="center"/>
          </w:tcPr>
          <w:p w:rsidRPr="00877D8E" w:rsidR="76CD7B26" w:rsidP="00401AE5" w:rsidRDefault="0E503493" w14:paraId="54C5BFBE" w14:textId="250E0471">
            <w:pPr>
              <w:spacing w:before="240" w:after="240"/>
              <w:jc w:val="both"/>
              <w:rPr>
                <w:rFonts w:ascii="Aptos" w:hAnsi="Aptos" w:eastAsia="Aptos" w:cs="Aptos"/>
                <w:sz w:val="12"/>
                <w:szCs w:val="12"/>
              </w:rPr>
            </w:pPr>
            <w:r w:rsidRPr="00877D8E">
              <w:rPr>
                <w:rFonts w:ascii="Aptos" w:hAnsi="Aptos" w:eastAsia="Aptos" w:cs="Aptos"/>
                <w:color w:val="000000" w:themeColor="text1"/>
                <w:sz w:val="12"/>
                <w:szCs w:val="12"/>
              </w:rPr>
              <w:t>Se observa un proceso progresivo de aceptación de prácticas operativas que reducían márgenes de seguridad:</w:t>
            </w:r>
            <w:r w:rsidRPr="00877D8E" w:rsidR="002C6D32">
              <w:rPr>
                <w:sz w:val="12"/>
                <w:szCs w:val="12"/>
              </w:rPr>
              <w:t xml:space="preserve"> </w:t>
            </w:r>
            <w:r w:rsidRPr="00877D8E">
              <w:rPr>
                <w:rFonts w:ascii="Aptos" w:hAnsi="Aptos" w:eastAsia="Aptos" w:cs="Aptos"/>
                <w:color w:val="000000" w:themeColor="text1"/>
                <w:sz w:val="12"/>
                <w:szCs w:val="12"/>
              </w:rPr>
              <w:t>Adaptación flexible de procedimientos</w:t>
            </w:r>
            <w:r w:rsidRPr="00877D8E" w:rsidR="002C6D32">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Confianza en que el sistema de prevención (BOP) actuaría como barrera final</w:t>
            </w:r>
            <w:r w:rsidRPr="00877D8E" w:rsidR="00CE7018">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 xml:space="preserve">Priorización de eficiencia y cumplimiento de </w:t>
            </w:r>
            <w:r w:rsidRPr="00877D8E" w:rsidR="00BF2C16">
              <w:rPr>
                <w:rFonts w:ascii="Aptos" w:hAnsi="Aptos" w:eastAsia="Aptos" w:cs="Aptos"/>
                <w:color w:val="000000" w:themeColor="text1"/>
                <w:sz w:val="12"/>
                <w:szCs w:val="12"/>
              </w:rPr>
              <w:t>cronograma, Percepción</w:t>
            </w:r>
            <w:r w:rsidRPr="00877D8E">
              <w:rPr>
                <w:rFonts w:ascii="Aptos" w:hAnsi="Aptos" w:eastAsia="Aptos" w:cs="Aptos"/>
                <w:color w:val="000000" w:themeColor="text1"/>
                <w:sz w:val="12"/>
                <w:szCs w:val="12"/>
              </w:rPr>
              <w:t xml:space="preserve"> de que incidentes menores previos no habían generado consecuencias graves.</w:t>
            </w:r>
            <w:r w:rsidRPr="00877D8E" w:rsidR="00BF2C16">
              <w:rPr>
                <w:sz w:val="12"/>
                <w:szCs w:val="12"/>
              </w:rPr>
              <w:t xml:space="preserve"> </w:t>
            </w:r>
            <w:r w:rsidRPr="00877D8E">
              <w:rPr>
                <w:rFonts w:ascii="Aptos" w:hAnsi="Aptos" w:eastAsia="Aptos" w:cs="Aptos"/>
                <w:color w:val="000000" w:themeColor="text1"/>
                <w:sz w:val="12"/>
                <w:szCs w:val="12"/>
              </w:rPr>
              <w:t>Las desviaciones se integraron a la práctica cotidiana sin activar revisión estructural profunda.</w:t>
            </w:r>
          </w:p>
        </w:tc>
        <w:tc>
          <w:tcPr>
            <w:tcW w:w="2127" w:type="dxa"/>
            <w:tcMar>
              <w:left w:w="105" w:type="dxa"/>
              <w:right w:w="105" w:type="dxa"/>
            </w:tcMar>
            <w:vAlign w:val="center"/>
          </w:tcPr>
          <w:p w:rsidRPr="00877D8E" w:rsidR="0E503493" w:rsidP="007130D8" w:rsidRDefault="0E503493" w14:paraId="728D2975" w14:textId="3E69B73F">
            <w:pPr>
              <w:spacing w:before="240" w:after="240"/>
              <w:jc w:val="both"/>
              <w:rPr>
                <w:sz w:val="12"/>
                <w:szCs w:val="12"/>
              </w:rPr>
            </w:pPr>
            <w:r w:rsidRPr="00877D8E">
              <w:rPr>
                <w:rFonts w:ascii="Aptos" w:hAnsi="Aptos" w:eastAsia="Aptos" w:cs="Aptos"/>
                <w:color w:val="000000" w:themeColor="text1"/>
                <w:sz w:val="12"/>
                <w:szCs w:val="12"/>
              </w:rPr>
              <w:t>Entre las condiciones estructurales que permanecieron activas se identifican</w:t>
            </w:r>
            <w:r w:rsidRPr="00877D8E" w:rsidR="00F86500">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Complejidad técnica creciente en perforación en aguas ultra profundas.</w:t>
            </w:r>
            <w:r w:rsidRPr="00877D8E" w:rsidR="00BF2C16">
              <w:rPr>
                <w:sz w:val="12"/>
                <w:szCs w:val="12"/>
              </w:rPr>
              <w:t xml:space="preserve"> </w:t>
            </w:r>
            <w:r w:rsidRPr="00877D8E">
              <w:rPr>
                <w:rFonts w:ascii="Aptos" w:hAnsi="Aptos" w:eastAsia="Aptos" w:cs="Aptos"/>
                <w:color w:val="000000" w:themeColor="text1"/>
                <w:sz w:val="12"/>
                <w:szCs w:val="12"/>
              </w:rPr>
              <w:t>Debilidades en el sistema de supervisión regulatoria</w:t>
            </w:r>
            <w:r w:rsidRPr="00877D8E" w:rsidR="00BF2C16">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Cultura corporativa con</w:t>
            </w:r>
            <w:r w:rsidRPr="00877D8E" w:rsidR="00357F94">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tensión entre seguridad y desempeño financiero</w:t>
            </w:r>
            <w:r w:rsidRPr="00877D8E" w:rsidR="00357F94">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Dependencia excesiva en sistemas de contención tecnológica</w:t>
            </w:r>
            <w:r w:rsidRPr="00877D8E" w:rsidR="00357F94">
              <w:rPr>
                <w:rFonts w:ascii="Aptos" w:hAnsi="Aptos" w:eastAsia="Aptos" w:cs="Aptos"/>
                <w:color w:val="000000" w:themeColor="text1"/>
                <w:sz w:val="12"/>
                <w:szCs w:val="12"/>
              </w:rPr>
              <w:t xml:space="preserve">, </w:t>
            </w:r>
            <w:r w:rsidRPr="00877D8E">
              <w:rPr>
                <w:rFonts w:ascii="Aptos" w:hAnsi="Aptos" w:eastAsia="Aptos" w:cs="Aptos"/>
                <w:color w:val="000000" w:themeColor="text1"/>
                <w:sz w:val="12"/>
                <w:szCs w:val="12"/>
              </w:rPr>
              <w:t>Fragmentación contractual sin integración plena del riesgo sistémico.</w:t>
            </w:r>
            <w:r w:rsidRPr="00877D8E" w:rsidR="00357F94">
              <w:rPr>
                <w:sz w:val="12"/>
                <w:szCs w:val="12"/>
              </w:rPr>
              <w:t xml:space="preserve"> </w:t>
            </w:r>
            <w:r w:rsidRPr="00877D8E">
              <w:rPr>
                <w:rFonts w:ascii="Aptos" w:hAnsi="Aptos" w:eastAsia="Aptos" w:cs="Aptos"/>
                <w:color w:val="000000" w:themeColor="text1"/>
                <w:sz w:val="12"/>
                <w:szCs w:val="12"/>
              </w:rPr>
              <w:t>Estas fallas no produjeron efectos inmediatos, pero crearon un entorno de alta vulnerabilidad acumulativa.</w:t>
            </w:r>
          </w:p>
          <w:p w:rsidRPr="00877D8E" w:rsidR="76CD7B26" w:rsidP="007130D8" w:rsidRDefault="76CD7B26" w14:paraId="066C5B3D" w14:textId="52490291">
            <w:pPr>
              <w:jc w:val="both"/>
              <w:rPr>
                <w:rFonts w:ascii="Aptos" w:hAnsi="Aptos" w:eastAsia="Aptos" w:cs="Aptos"/>
                <w:sz w:val="12"/>
                <w:szCs w:val="12"/>
              </w:rPr>
            </w:pPr>
          </w:p>
        </w:tc>
        <w:tc>
          <w:tcPr>
            <w:tcW w:w="2126" w:type="dxa"/>
            <w:tcMar>
              <w:left w:w="105" w:type="dxa"/>
              <w:right w:w="105" w:type="dxa"/>
            </w:tcMar>
            <w:vAlign w:val="center"/>
          </w:tcPr>
          <w:p w:rsidRPr="00877D8E" w:rsidR="76CD7B26" w:rsidP="00717D48" w:rsidRDefault="3D023EBD" w14:paraId="56804053" w14:textId="78D3D94C">
            <w:pPr>
              <w:spacing w:before="240" w:after="240"/>
              <w:jc w:val="both"/>
              <w:rPr>
                <w:rFonts w:ascii="Aptos" w:hAnsi="Aptos" w:eastAsia="Aptos" w:cs="Aptos"/>
                <w:sz w:val="12"/>
                <w:szCs w:val="12"/>
              </w:rPr>
            </w:pPr>
            <w:r w:rsidRPr="00877D8E">
              <w:rPr>
                <w:rFonts w:ascii="Aptos" w:hAnsi="Aptos" w:eastAsia="Aptos" w:cs="Aptos"/>
                <w:color w:val="000000" w:themeColor="text1"/>
                <w:sz w:val="12"/>
                <w:szCs w:val="12"/>
              </w:rPr>
              <w:t xml:space="preserve">El 20 de abril de 2010, una liberación descontrolada de gas desde el pozo Macondo provocó una explosión en la plataforma </w:t>
            </w:r>
            <w:proofErr w:type="spellStart"/>
            <w:r w:rsidRPr="00877D8E">
              <w:rPr>
                <w:rFonts w:ascii="Aptos" w:hAnsi="Aptos" w:eastAsia="Aptos" w:cs="Aptos"/>
                <w:color w:val="000000" w:themeColor="text1"/>
                <w:sz w:val="12"/>
                <w:szCs w:val="12"/>
              </w:rPr>
              <w:t>Deepwater</w:t>
            </w:r>
            <w:proofErr w:type="spellEnd"/>
            <w:r w:rsidRPr="00877D8E">
              <w:rPr>
                <w:rFonts w:ascii="Aptos" w:hAnsi="Aptos" w:eastAsia="Aptos" w:cs="Aptos"/>
                <w:color w:val="000000" w:themeColor="text1"/>
                <w:sz w:val="12"/>
                <w:szCs w:val="12"/>
              </w:rPr>
              <w:t xml:space="preserve"> Horizon. El sistema </w:t>
            </w:r>
            <w:proofErr w:type="spellStart"/>
            <w:r w:rsidRPr="00877D8E">
              <w:rPr>
                <w:rFonts w:ascii="Aptos" w:hAnsi="Aptos" w:eastAsia="Aptos" w:cs="Aptos"/>
                <w:color w:val="000000" w:themeColor="text1"/>
                <w:sz w:val="12"/>
                <w:szCs w:val="12"/>
              </w:rPr>
              <w:t>preventor</w:t>
            </w:r>
            <w:proofErr w:type="spellEnd"/>
            <w:r w:rsidRPr="00877D8E">
              <w:rPr>
                <w:rFonts w:ascii="Aptos" w:hAnsi="Aptos" w:eastAsia="Aptos" w:cs="Aptos"/>
                <w:color w:val="000000" w:themeColor="text1"/>
                <w:sz w:val="12"/>
                <w:szCs w:val="12"/>
              </w:rPr>
              <w:t xml:space="preserve"> de reventones (BOP) no logró sellar el pozo, desencadenando el mayor derrame petrolero marino de la historia.</w:t>
            </w:r>
            <w:r w:rsidRPr="00877D8E" w:rsidR="00357F94">
              <w:rPr>
                <w:sz w:val="12"/>
                <w:szCs w:val="12"/>
              </w:rPr>
              <w:t xml:space="preserve"> </w:t>
            </w:r>
            <w:r w:rsidRPr="00877D8E">
              <w:rPr>
                <w:rFonts w:ascii="Aptos" w:hAnsi="Aptos" w:eastAsia="Aptos" w:cs="Aptos"/>
                <w:color w:val="000000" w:themeColor="text1"/>
                <w:sz w:val="12"/>
                <w:szCs w:val="12"/>
              </w:rPr>
              <w:t>El evento fue el resultado de una degradación progresiva del control organizacional sobre el riesgo, combinada con una falla técnica en el último mecanismo de contención. La explosión reveló debilidades estructurales en la gobernanza interorganizacional del riesgo en proyectos energéticos de alta complejidad.</w:t>
            </w:r>
          </w:p>
        </w:tc>
      </w:tr>
      <w:tr w:rsidRPr="00877D8E" w:rsidR="008F1312" w:rsidTr="00877D8E" w14:paraId="00070873" w14:textId="77777777">
        <w:trPr>
          <w:cantSplit/>
        </w:trPr>
        <w:tc>
          <w:tcPr>
            <w:tcW w:w="1135" w:type="dxa"/>
            <w:tcMar>
              <w:left w:w="105" w:type="dxa"/>
              <w:right w:w="105" w:type="dxa"/>
            </w:tcMar>
            <w:vAlign w:val="center"/>
          </w:tcPr>
          <w:p w:rsidRPr="00877D8E" w:rsidR="00EE179C" w:rsidP="000E7553" w:rsidRDefault="00EE179C" w14:paraId="0F4A3585" w14:textId="163F4DE7">
            <w:pPr>
              <w:rPr>
                <w:rFonts w:ascii="Aptos" w:hAnsi="Aptos" w:eastAsia="Aptos" w:cs="Aptos"/>
                <w:b/>
                <w:bCs/>
                <w:sz w:val="12"/>
                <w:szCs w:val="12"/>
              </w:rPr>
            </w:pPr>
            <w:r w:rsidRPr="00877D8E">
              <w:rPr>
                <w:rFonts w:ascii="Aptos" w:hAnsi="Aptos" w:eastAsia="Aptos" w:cs="Aptos"/>
                <w:b/>
                <w:bCs/>
                <w:sz w:val="12"/>
                <w:szCs w:val="12"/>
              </w:rPr>
              <w:t>Caso Challenger</w:t>
            </w:r>
          </w:p>
        </w:tc>
        <w:tc>
          <w:tcPr>
            <w:tcW w:w="2410" w:type="dxa"/>
            <w:tcMar>
              <w:left w:w="105" w:type="dxa"/>
              <w:right w:w="105" w:type="dxa"/>
            </w:tcMar>
            <w:vAlign w:val="center"/>
          </w:tcPr>
          <w:p w:rsidRPr="00877D8E" w:rsidR="00EE179C" w:rsidP="007130D8" w:rsidRDefault="009003E4" w14:paraId="2CF3D84E" w14:textId="7CEAA6C7">
            <w:pPr>
              <w:jc w:val="both"/>
              <w:rPr>
                <w:rFonts w:ascii="Aptos" w:hAnsi="Aptos" w:eastAsia="Aptos" w:cs="Aptos"/>
                <w:sz w:val="12"/>
                <w:szCs w:val="12"/>
              </w:rPr>
            </w:pPr>
            <w:r w:rsidRPr="00877D8E">
              <w:rPr>
                <w:rFonts w:ascii="Aptos" w:hAnsi="Aptos" w:eastAsia="Aptos" w:cs="Aptos"/>
                <w:sz w:val="12"/>
                <w:szCs w:val="12"/>
              </w:rPr>
              <w:t xml:space="preserve">El programa del transbordador espacial de la NASA operaba bajo una estructura organizacional compleja que involucraba múltiples centros de investigación, contratistas privados y organismos gubernamentales. Entre los actores principales se encontraban la NASA, el contratista Morton </w:t>
            </w:r>
            <w:proofErr w:type="spellStart"/>
            <w:r w:rsidRPr="00877D8E">
              <w:rPr>
                <w:rFonts w:ascii="Aptos" w:hAnsi="Aptos" w:eastAsia="Aptos" w:cs="Aptos"/>
                <w:sz w:val="12"/>
                <w:szCs w:val="12"/>
              </w:rPr>
              <w:t>Thiokol</w:t>
            </w:r>
            <w:proofErr w:type="spellEnd"/>
            <w:r w:rsidRPr="00877D8E">
              <w:rPr>
                <w:rFonts w:ascii="Aptos" w:hAnsi="Aptos" w:eastAsia="Aptos" w:cs="Aptos"/>
                <w:sz w:val="12"/>
                <w:szCs w:val="12"/>
              </w:rPr>
              <w:t xml:space="preserve"> (responsable de los cohetes impulsores sólidos) y otros proveedores del sistema de lanzamiento. Esta estructura fragmentada generaba múltiples niveles jerárquicos y una distribución difusa de responsabilidades técnicas y de gestión.</w:t>
            </w:r>
          </w:p>
        </w:tc>
        <w:tc>
          <w:tcPr>
            <w:tcW w:w="1984" w:type="dxa"/>
            <w:tcMar>
              <w:left w:w="105" w:type="dxa"/>
              <w:right w:w="105" w:type="dxa"/>
            </w:tcMar>
            <w:vAlign w:val="center"/>
          </w:tcPr>
          <w:p w:rsidRPr="00877D8E" w:rsidR="00EE179C" w:rsidP="007130D8" w:rsidRDefault="00B75EDB" w14:paraId="21BDE987" w14:textId="55AFD07D">
            <w:pPr>
              <w:jc w:val="both"/>
              <w:rPr>
                <w:rFonts w:ascii="Aptos" w:hAnsi="Aptos" w:eastAsia="Aptos" w:cs="Aptos"/>
                <w:sz w:val="12"/>
                <w:szCs w:val="12"/>
              </w:rPr>
            </w:pPr>
            <w:r w:rsidRPr="00877D8E">
              <w:rPr>
                <w:rFonts w:ascii="Aptos" w:hAnsi="Aptos" w:eastAsia="Aptos" w:cs="Aptos"/>
                <w:sz w:val="12"/>
                <w:szCs w:val="12"/>
              </w:rPr>
              <w:t>Las decisiones operativas se tomaban dentro de un contexto de fuerte presión institucional para cumplir cronogramas de lanzamiento y demostrar la confiabilidad del programa espacial. La comunicación entre ingenieros y directivos estaba mediada por estructuras jerárquicas que filtraban información técnica crítica. Durante la reunión previa al lanzamiento, las preocupaciones de los ingenieros sobre los riesgos asociados a bajas temperaturas fueron minimizadas por los directivos y finalmente se autorizó el lanzamiento.</w:t>
            </w:r>
          </w:p>
        </w:tc>
        <w:tc>
          <w:tcPr>
            <w:tcW w:w="1985" w:type="dxa"/>
            <w:tcMar>
              <w:left w:w="105" w:type="dxa"/>
              <w:right w:w="105" w:type="dxa"/>
            </w:tcMar>
            <w:vAlign w:val="center"/>
          </w:tcPr>
          <w:p w:rsidRPr="00877D8E" w:rsidR="00EE179C" w:rsidP="007130D8" w:rsidRDefault="003B756F" w14:paraId="0DB49492" w14:textId="052CF162">
            <w:pPr>
              <w:jc w:val="both"/>
              <w:rPr>
                <w:rFonts w:ascii="Aptos" w:hAnsi="Aptos" w:eastAsia="Aptos" w:cs="Aptos"/>
                <w:sz w:val="12"/>
                <w:szCs w:val="12"/>
              </w:rPr>
            </w:pPr>
            <w:r w:rsidRPr="00877D8E">
              <w:rPr>
                <w:rFonts w:ascii="Aptos" w:hAnsi="Aptos" w:eastAsia="Aptos" w:cs="Aptos"/>
                <w:sz w:val="12"/>
                <w:szCs w:val="12"/>
              </w:rPr>
              <w:t>Desde misiones anteriores se habían detectado problemas en l</w:t>
            </w:r>
            <w:r w:rsidRPr="00877D8E" w:rsidR="006811AF">
              <w:rPr>
                <w:rFonts w:ascii="Aptos" w:hAnsi="Aptos" w:eastAsia="Aptos" w:cs="Aptos"/>
                <w:sz w:val="12"/>
                <w:szCs w:val="12"/>
              </w:rPr>
              <w:t xml:space="preserve">as juntas tóricas </w:t>
            </w:r>
            <w:r w:rsidRPr="00877D8E" w:rsidR="0023713F">
              <w:rPr>
                <w:rFonts w:ascii="Aptos" w:hAnsi="Aptos" w:eastAsia="Aptos" w:cs="Aptos"/>
                <w:sz w:val="12"/>
                <w:szCs w:val="12"/>
              </w:rPr>
              <w:t xml:space="preserve">que sellaban </w:t>
            </w:r>
            <w:r w:rsidRPr="00877D8E">
              <w:rPr>
                <w:rFonts w:ascii="Aptos" w:hAnsi="Aptos" w:eastAsia="Aptos" w:cs="Aptos"/>
                <w:sz w:val="12"/>
                <w:szCs w:val="12"/>
              </w:rPr>
              <w:t xml:space="preserve">los cohetes impulsores sólidos. Los ingenieros de Morton </w:t>
            </w:r>
            <w:proofErr w:type="spellStart"/>
            <w:r w:rsidRPr="00877D8E">
              <w:rPr>
                <w:rFonts w:ascii="Aptos" w:hAnsi="Aptos" w:eastAsia="Aptos" w:cs="Aptos"/>
                <w:sz w:val="12"/>
                <w:szCs w:val="12"/>
              </w:rPr>
              <w:t>Thiokol</w:t>
            </w:r>
            <w:proofErr w:type="spellEnd"/>
            <w:r w:rsidRPr="00877D8E">
              <w:rPr>
                <w:rFonts w:ascii="Aptos" w:hAnsi="Aptos" w:eastAsia="Aptos" w:cs="Aptos"/>
                <w:sz w:val="12"/>
                <w:szCs w:val="12"/>
              </w:rPr>
              <w:t xml:space="preserve"> habían documentado casos de erosión y deterioro de estos componentes en lanzamientos previos. Además, existían advertencias específicas sobre el comportamiento de </w:t>
            </w:r>
            <w:r w:rsidRPr="00877D8E" w:rsidR="00357F94">
              <w:rPr>
                <w:rFonts w:ascii="Aptos" w:hAnsi="Aptos" w:eastAsia="Aptos" w:cs="Aptos"/>
                <w:sz w:val="12"/>
                <w:szCs w:val="12"/>
              </w:rPr>
              <w:t>las juntas tóricas</w:t>
            </w:r>
            <w:r w:rsidRPr="00877D8E">
              <w:rPr>
                <w:rFonts w:ascii="Aptos" w:hAnsi="Aptos" w:eastAsia="Aptos" w:cs="Aptos"/>
                <w:sz w:val="12"/>
                <w:szCs w:val="12"/>
              </w:rPr>
              <w:t xml:space="preserve"> en temperaturas bajas, las cuales aumentaban el riesgo de fallas en el sellado del combustible. Estas advertencias no fueron tratadas como un riesgo crítico.</w:t>
            </w:r>
          </w:p>
        </w:tc>
        <w:tc>
          <w:tcPr>
            <w:tcW w:w="1984" w:type="dxa"/>
            <w:tcMar>
              <w:left w:w="105" w:type="dxa"/>
              <w:right w:w="105" w:type="dxa"/>
            </w:tcMar>
            <w:vAlign w:val="center"/>
          </w:tcPr>
          <w:p w:rsidRPr="00877D8E" w:rsidR="00EE179C" w:rsidP="007130D8" w:rsidRDefault="00FB3398" w14:paraId="63B4652D" w14:textId="3049BA39">
            <w:pPr>
              <w:jc w:val="both"/>
              <w:rPr>
                <w:rFonts w:ascii="Aptos" w:hAnsi="Aptos" w:eastAsia="Aptos" w:cs="Aptos"/>
                <w:sz w:val="12"/>
                <w:szCs w:val="12"/>
              </w:rPr>
            </w:pPr>
            <w:r w:rsidRPr="00877D8E">
              <w:rPr>
                <w:rFonts w:ascii="Aptos" w:hAnsi="Aptos" w:eastAsia="Aptos" w:cs="Aptos"/>
                <w:sz w:val="12"/>
                <w:szCs w:val="12"/>
              </w:rPr>
              <w:t xml:space="preserve">Con el paso del tiempo, los incidentes menores relacionados con la erosión de </w:t>
            </w:r>
            <w:r w:rsidRPr="00877D8E" w:rsidR="00357F94">
              <w:rPr>
                <w:rFonts w:ascii="Aptos" w:hAnsi="Aptos" w:eastAsia="Aptos" w:cs="Aptos"/>
                <w:sz w:val="12"/>
                <w:szCs w:val="12"/>
              </w:rPr>
              <w:t>las juntas tóricas</w:t>
            </w:r>
            <w:r w:rsidRPr="00877D8E">
              <w:rPr>
                <w:rFonts w:ascii="Aptos" w:hAnsi="Aptos" w:eastAsia="Aptos" w:cs="Aptos"/>
                <w:sz w:val="12"/>
                <w:szCs w:val="12"/>
              </w:rPr>
              <w:t xml:space="preserve"> comenzaron a ser interpretados como desviaciones aceptables del funcionamiento esperado. Este fenómeno, conocido como normalización de la desviación, llevó a que las anomalías técnicas detectadas en misiones anteriores se consideraran tolerables mientras no produjeran fallas catastróficas. Como resultado, el riesgo real del sistema fue subestimado dentro de la organización.</w:t>
            </w:r>
          </w:p>
        </w:tc>
        <w:tc>
          <w:tcPr>
            <w:tcW w:w="2127" w:type="dxa"/>
            <w:tcMar>
              <w:left w:w="105" w:type="dxa"/>
              <w:right w:w="105" w:type="dxa"/>
            </w:tcMar>
            <w:vAlign w:val="center"/>
          </w:tcPr>
          <w:p w:rsidRPr="00877D8E" w:rsidR="00EE179C" w:rsidP="007130D8" w:rsidRDefault="006C5BE2" w14:paraId="1A9A5BC6" w14:textId="6DF02F49">
            <w:pPr>
              <w:jc w:val="both"/>
              <w:rPr>
                <w:rFonts w:ascii="Aptos" w:hAnsi="Aptos" w:eastAsia="Aptos" w:cs="Aptos"/>
                <w:sz w:val="12"/>
                <w:szCs w:val="12"/>
              </w:rPr>
            </w:pPr>
            <w:r w:rsidRPr="00877D8E">
              <w:rPr>
                <w:rFonts w:ascii="Aptos" w:hAnsi="Aptos" w:eastAsia="Aptos" w:cs="Aptos"/>
                <w:sz w:val="12"/>
                <w:szCs w:val="12"/>
              </w:rPr>
              <w:t>Se acumularon múltiples fallas estructurales: comunicación deficiente entre ingenieros y directivos, presión institucional por cumplir calendarios de lanzamiento, interpretación errónea de datos técnicos y dependencia de procesos de decisión jerárquicos que limitaban el peso de la evidencia técnica. Estas debilidades organizacionales permanecieron latentes durante varias misiones antes del accidente.</w:t>
            </w:r>
          </w:p>
        </w:tc>
        <w:tc>
          <w:tcPr>
            <w:tcW w:w="2126" w:type="dxa"/>
            <w:tcMar>
              <w:left w:w="105" w:type="dxa"/>
              <w:right w:w="105" w:type="dxa"/>
            </w:tcMar>
            <w:vAlign w:val="center"/>
          </w:tcPr>
          <w:p w:rsidRPr="00877D8E" w:rsidR="00EE179C" w:rsidP="007130D8" w:rsidRDefault="00B420FE" w14:paraId="2EBF680A" w14:textId="5537AB02">
            <w:pPr>
              <w:jc w:val="both"/>
              <w:rPr>
                <w:rFonts w:ascii="Aptos" w:hAnsi="Aptos" w:eastAsia="Aptos" w:cs="Aptos"/>
                <w:sz w:val="12"/>
                <w:szCs w:val="12"/>
              </w:rPr>
            </w:pPr>
            <w:r w:rsidRPr="00877D8E">
              <w:rPr>
                <w:rFonts w:ascii="Aptos" w:hAnsi="Aptos" w:eastAsia="Aptos" w:cs="Aptos"/>
                <w:sz w:val="12"/>
                <w:szCs w:val="12"/>
              </w:rPr>
              <w:t>El 28 de enero de 1986, el transbordador Challenger fue lanzado bajo condiciones climáticas inusualmente frías. Las bajas temperaturas redujeron la capacidad de sellado de las juntas tóricas en uno de los cohetes impulsores sólidos. Aproximadamente 73 segundos después del lanzamiento, se produjo una fuga de gases calientes que provocó la ruptura del tanque externo de combustible y la destrucción del transbordador, causando la muerte de los siete astronautas a bordo.</w:t>
            </w:r>
          </w:p>
        </w:tc>
      </w:tr>
      <w:tr w:rsidRPr="00877D8E" w:rsidR="008F1312" w:rsidTr="00877D8E" w14:paraId="679155A4" w14:textId="77777777">
        <w:trPr>
          <w:cantSplit/>
        </w:trPr>
        <w:tc>
          <w:tcPr>
            <w:tcW w:w="1135" w:type="dxa"/>
            <w:tcMar>
              <w:left w:w="105" w:type="dxa"/>
              <w:right w:w="105" w:type="dxa"/>
            </w:tcMar>
            <w:vAlign w:val="center"/>
          </w:tcPr>
          <w:p w:rsidRPr="00877D8E" w:rsidR="009D6529" w:rsidP="000E7553" w:rsidRDefault="009D6529" w14:paraId="0A9282A5" w14:textId="59578BBD">
            <w:pPr>
              <w:rPr>
                <w:rFonts w:ascii="Aptos" w:hAnsi="Aptos" w:eastAsia="Aptos" w:cs="Aptos"/>
                <w:b/>
                <w:bCs/>
                <w:sz w:val="12"/>
                <w:szCs w:val="12"/>
              </w:rPr>
            </w:pPr>
            <w:r w:rsidRPr="00877D8E">
              <w:rPr>
                <w:rFonts w:ascii="Aptos" w:hAnsi="Aptos" w:eastAsia="Aptos" w:cs="Aptos"/>
                <w:b/>
                <w:bCs/>
                <w:sz w:val="12"/>
                <w:szCs w:val="12"/>
              </w:rPr>
              <w:lastRenderedPageBreak/>
              <w:t>Caso Carillion</w:t>
            </w:r>
          </w:p>
        </w:tc>
        <w:tc>
          <w:tcPr>
            <w:tcW w:w="2410" w:type="dxa"/>
            <w:tcMar>
              <w:left w:w="105" w:type="dxa"/>
              <w:right w:w="105" w:type="dxa"/>
            </w:tcMar>
            <w:vAlign w:val="center"/>
          </w:tcPr>
          <w:p w:rsidRPr="00877D8E" w:rsidR="009D6529" w:rsidP="007130D8" w:rsidRDefault="009D6529" w14:paraId="21060524" w14:textId="1D9ABFB8">
            <w:pPr>
              <w:jc w:val="both"/>
              <w:rPr>
                <w:rFonts w:ascii="Aptos" w:hAnsi="Aptos" w:eastAsia="Aptos" w:cs="Aptos"/>
                <w:sz w:val="12"/>
                <w:szCs w:val="12"/>
              </w:rPr>
            </w:pPr>
            <w:r w:rsidRPr="00877D8E">
              <w:rPr>
                <w:rFonts w:ascii="Aptos" w:hAnsi="Aptos" w:eastAsia="Aptos" w:cs="Aptos"/>
                <w:sz w:val="12"/>
                <w:szCs w:val="12"/>
              </w:rPr>
              <w:t xml:space="preserve">Carillion </w:t>
            </w:r>
            <w:proofErr w:type="spellStart"/>
            <w:r w:rsidRPr="00877D8E">
              <w:rPr>
                <w:rFonts w:ascii="Aptos" w:hAnsi="Aptos" w:eastAsia="Aptos" w:cs="Aptos"/>
                <w:sz w:val="12"/>
                <w:szCs w:val="12"/>
              </w:rPr>
              <w:t>plc</w:t>
            </w:r>
            <w:proofErr w:type="spellEnd"/>
            <w:r w:rsidRPr="00877D8E">
              <w:rPr>
                <w:rFonts w:ascii="Aptos" w:hAnsi="Aptos" w:eastAsia="Aptos" w:cs="Aptos"/>
                <w:sz w:val="12"/>
                <w:szCs w:val="12"/>
              </w:rPr>
              <w:t xml:space="preserve"> era una gran empresa británica del sector de construcción y servicios de infraestructura con operaciones en varios países. Su estructura organizacional estaba compuesta por un consejo de administración, directivos ejecutivos y múltiples unidades operativas dedicadas a contratos de infraestructura pública y privada. Sin embargo, el liderazgo ejecutivo concentraba gran parte del poder estratégico y financiero. La junta directiva careció de una supervisión efectiva sobre las decisiones financieras y contables, mientras que los sistemas de gobernanza corporativa resultaron insuficientes para controlar los riesgos asociados a su expansión.</w:t>
            </w:r>
          </w:p>
        </w:tc>
        <w:tc>
          <w:tcPr>
            <w:tcW w:w="1984" w:type="dxa"/>
            <w:tcMar>
              <w:left w:w="105" w:type="dxa"/>
              <w:right w:w="105" w:type="dxa"/>
            </w:tcMar>
            <w:vAlign w:val="center"/>
          </w:tcPr>
          <w:p w:rsidRPr="00877D8E" w:rsidR="009D6529" w:rsidP="007130D8" w:rsidRDefault="009D6529" w14:paraId="74CE5C89" w14:textId="5BB71EF5">
            <w:pPr>
              <w:jc w:val="both"/>
              <w:rPr>
                <w:rFonts w:ascii="Aptos" w:hAnsi="Aptos" w:eastAsia="Aptos" w:cs="Aptos"/>
                <w:sz w:val="12"/>
                <w:szCs w:val="12"/>
              </w:rPr>
            </w:pPr>
            <w:r w:rsidRPr="00877D8E">
              <w:rPr>
                <w:rFonts w:ascii="Aptos" w:hAnsi="Aptos" w:eastAsia="Aptos" w:cs="Aptos"/>
                <w:sz w:val="12"/>
                <w:szCs w:val="12"/>
              </w:rPr>
              <w:t>La empresa adoptó una estrategia de crecimiento agresivo basada en adquisiciones, expansión internacional y participación en grandes contratos públicos, especialmente proyectos de asociaciones público-privadas (PPP). Las decisiones estratégicas priorizaban el crecimiento rápido, el mantenimiento de dividendos atractivos para inversionistas y la expansión del portafolio de contratos, aun cuando los riesgos financieros aumentaban. La dirección utilizó prácticas contables agresivas y proyecciones optimistas de ingresos para sostener la percepción de estabilidad financiera.</w:t>
            </w:r>
          </w:p>
        </w:tc>
        <w:tc>
          <w:tcPr>
            <w:tcW w:w="1985" w:type="dxa"/>
            <w:tcMar>
              <w:left w:w="105" w:type="dxa"/>
              <w:right w:w="105" w:type="dxa"/>
            </w:tcMar>
            <w:vAlign w:val="center"/>
          </w:tcPr>
          <w:p w:rsidRPr="00877D8E" w:rsidR="009D6529" w:rsidP="007130D8" w:rsidRDefault="009D6529" w14:paraId="113B08D8" w14:textId="6922A15A">
            <w:pPr>
              <w:jc w:val="both"/>
              <w:rPr>
                <w:rFonts w:ascii="Aptos" w:hAnsi="Aptos" w:eastAsia="Aptos" w:cs="Aptos"/>
                <w:sz w:val="12"/>
                <w:szCs w:val="12"/>
              </w:rPr>
            </w:pPr>
            <w:r w:rsidRPr="00877D8E">
              <w:rPr>
                <w:rFonts w:ascii="Aptos" w:hAnsi="Aptos" w:eastAsia="Aptos" w:cs="Aptos"/>
                <w:sz w:val="12"/>
                <w:szCs w:val="12"/>
              </w:rPr>
              <w:t>Varias señales de alerta surgieron años antes del colapso. Entre ellas se encontraban el incremento sostenido de la deuda, el deterioro del flujo de caja, el aumento de las cuentas por cobrar y los retrasos en el pago a proveedores que superaban los 120 días. Asimismo, el nuevo director financiero advirtió en 2017 sobre prácticas contables agresivas en varios proyectos. Los vendedores en corto del mercado también anticipaban</w:t>
            </w:r>
            <w:r w:rsidRPr="00877D8E" w:rsidR="00D53431">
              <w:rPr>
                <w:rFonts w:ascii="Aptos" w:hAnsi="Aptos" w:eastAsia="Aptos" w:cs="Aptos"/>
                <w:sz w:val="12"/>
                <w:szCs w:val="12"/>
              </w:rPr>
              <w:t xml:space="preserve"> </w:t>
            </w:r>
            <w:r w:rsidRPr="00877D8E">
              <w:rPr>
                <w:rFonts w:ascii="Aptos" w:hAnsi="Aptos" w:eastAsia="Aptos" w:cs="Aptos"/>
                <w:sz w:val="12"/>
                <w:szCs w:val="12"/>
              </w:rPr>
              <w:t>problemas financieros al apostar contra las acciones de la empresa.</w:t>
            </w:r>
          </w:p>
        </w:tc>
        <w:tc>
          <w:tcPr>
            <w:tcW w:w="1984" w:type="dxa"/>
            <w:tcMar>
              <w:left w:w="105" w:type="dxa"/>
              <w:right w:w="105" w:type="dxa"/>
            </w:tcMar>
            <w:vAlign w:val="center"/>
          </w:tcPr>
          <w:p w:rsidRPr="00877D8E" w:rsidR="009D6529" w:rsidP="007130D8" w:rsidRDefault="000B4252" w14:paraId="317DA6B6" w14:textId="58901263">
            <w:pPr>
              <w:jc w:val="both"/>
              <w:rPr>
                <w:rFonts w:ascii="Aptos" w:hAnsi="Aptos" w:eastAsia="Aptos" w:cs="Aptos"/>
                <w:sz w:val="12"/>
                <w:szCs w:val="12"/>
              </w:rPr>
            </w:pPr>
            <w:r w:rsidRPr="00877D8E">
              <w:rPr>
                <w:rFonts w:ascii="Aptos" w:hAnsi="Aptos" w:eastAsia="Aptos" w:cs="Aptos"/>
                <w:sz w:val="12"/>
                <w:szCs w:val="12"/>
              </w:rPr>
              <w:t xml:space="preserve">Dentro de la organización se consolidó una práctica sistemática de retrasar los pagos a proveedores y utilizar mecanismos financieros como el </w:t>
            </w:r>
            <w:r w:rsidRPr="00877D8E">
              <w:rPr>
                <w:rFonts w:ascii="Aptos" w:hAnsi="Aptos" w:eastAsia="Aptos" w:cs="Aptos"/>
                <w:i/>
                <w:iCs/>
                <w:sz w:val="12"/>
                <w:szCs w:val="12"/>
              </w:rPr>
              <w:t xml:space="preserve">reverse </w:t>
            </w:r>
            <w:proofErr w:type="spellStart"/>
            <w:r w:rsidRPr="00877D8E">
              <w:rPr>
                <w:rFonts w:ascii="Aptos" w:hAnsi="Aptos" w:eastAsia="Aptos" w:cs="Aptos"/>
                <w:i/>
                <w:iCs/>
                <w:sz w:val="12"/>
                <w:szCs w:val="12"/>
              </w:rPr>
              <w:t>factoring</w:t>
            </w:r>
            <w:proofErr w:type="spellEnd"/>
            <w:r w:rsidRPr="00877D8E">
              <w:rPr>
                <w:rFonts w:ascii="Aptos" w:hAnsi="Aptos" w:eastAsia="Aptos" w:cs="Aptos"/>
                <w:sz w:val="12"/>
                <w:szCs w:val="12"/>
              </w:rPr>
              <w:t xml:space="preserve"> o facilidades de pago anticipado para sostener el flujo de caja. Estas prácticas, inicialmente utilizadas como herramientas financieras, se volvieron habituales y se integraron a la operación normal de la empresa. La cultura corporativa priorizó la apariencia de estabilidad financiera y la continuidad de los dividendos, aun cuando la situación económica se deterioraba.</w:t>
            </w:r>
          </w:p>
        </w:tc>
        <w:tc>
          <w:tcPr>
            <w:tcW w:w="2127" w:type="dxa"/>
            <w:tcMar>
              <w:left w:w="105" w:type="dxa"/>
              <w:right w:w="105" w:type="dxa"/>
            </w:tcMar>
            <w:vAlign w:val="center"/>
          </w:tcPr>
          <w:p w:rsidRPr="00877D8E" w:rsidR="009D6529" w:rsidP="007130D8" w:rsidRDefault="007F087A" w14:paraId="510807C3" w14:textId="7BCC0972">
            <w:pPr>
              <w:jc w:val="both"/>
              <w:rPr>
                <w:rFonts w:ascii="Aptos" w:hAnsi="Aptos" w:eastAsia="Aptos" w:cs="Aptos"/>
                <w:sz w:val="12"/>
                <w:szCs w:val="12"/>
              </w:rPr>
            </w:pPr>
            <w:r w:rsidRPr="00877D8E">
              <w:rPr>
                <w:rFonts w:ascii="Aptos" w:hAnsi="Aptos" w:eastAsia="Aptos" w:cs="Aptos"/>
                <w:sz w:val="12"/>
                <w:szCs w:val="12"/>
              </w:rPr>
              <w:t>Se acumularon diversas debilidades estructurales: elevada deuda corporativa producto de adquisiciones, sobrecostos en grandes proyectos de infraestructura, prácticas contables agresivas, dependencia de contratos públicos de largo plazo, y una supervisión insuficiente por parte de auditores externos y organismos reguladores. Estas fallas latentes permanecieron durante años sin ser corregidas, mientras la empresa continuaba expandiendo sus operaciones.</w:t>
            </w:r>
          </w:p>
        </w:tc>
        <w:tc>
          <w:tcPr>
            <w:tcW w:w="2126" w:type="dxa"/>
            <w:tcMar>
              <w:left w:w="105" w:type="dxa"/>
              <w:right w:w="105" w:type="dxa"/>
            </w:tcMar>
            <w:vAlign w:val="center"/>
          </w:tcPr>
          <w:p w:rsidRPr="00877D8E" w:rsidR="009D6529" w:rsidP="007130D8" w:rsidRDefault="005A2C23" w14:paraId="28F6A1A6" w14:textId="6E2AD6C7">
            <w:pPr>
              <w:jc w:val="both"/>
              <w:rPr>
                <w:rFonts w:ascii="Aptos" w:hAnsi="Aptos" w:eastAsia="Aptos" w:cs="Aptos"/>
                <w:sz w:val="12"/>
                <w:szCs w:val="12"/>
              </w:rPr>
            </w:pPr>
            <w:r w:rsidRPr="00877D8E">
              <w:rPr>
                <w:rFonts w:ascii="Aptos" w:hAnsi="Aptos" w:eastAsia="Aptos" w:cs="Aptos"/>
                <w:sz w:val="12"/>
                <w:szCs w:val="12"/>
              </w:rPr>
              <w:t>El deterioro financiero se hizo evidente en julio de 2017 cuando Carillion anunció una pérdida inesperada de aproximadamente £845 millones asociada a varios proyectos problemáticos. Este anuncio provocó una fuerte caída en el valor de las acciones y la renuncia del director ejecutivo. Posteriormente se emitieron varias advertencias sobre beneficios y el deterioro financiero continuó hasta que la empresa entró en liquidación obligatoria en enero de 2018, marcando el colapso definitivo de la compañía.</w:t>
            </w:r>
          </w:p>
        </w:tc>
      </w:tr>
      <w:tr w:rsidRPr="00877D8E" w:rsidR="008F1312" w:rsidTr="00877D8E" w14:paraId="0E32FEAA" w14:textId="77777777">
        <w:trPr>
          <w:cantSplit/>
        </w:trPr>
        <w:tc>
          <w:tcPr>
            <w:tcW w:w="1135" w:type="dxa"/>
            <w:tcMar>
              <w:left w:w="105" w:type="dxa"/>
              <w:right w:w="105" w:type="dxa"/>
            </w:tcMar>
            <w:vAlign w:val="center"/>
          </w:tcPr>
          <w:p w:rsidRPr="00877D8E" w:rsidR="00A33C96" w:rsidP="007130D8" w:rsidRDefault="00A33C96" w14:paraId="5B6C0528" w14:textId="29C06204">
            <w:pPr>
              <w:jc w:val="both"/>
              <w:rPr>
                <w:rFonts w:ascii="Aptos" w:hAnsi="Aptos" w:eastAsia="Aptos" w:cs="Aptos"/>
                <w:b/>
                <w:bCs/>
                <w:sz w:val="12"/>
                <w:szCs w:val="12"/>
              </w:rPr>
            </w:pPr>
            <w:r w:rsidRPr="00877D8E">
              <w:rPr>
                <w:rFonts w:ascii="Aptos" w:hAnsi="Aptos" w:eastAsia="Aptos" w:cs="Aptos"/>
                <w:b/>
                <w:bCs/>
                <w:sz w:val="12"/>
                <w:szCs w:val="12"/>
              </w:rPr>
              <w:t xml:space="preserve">Caso </w:t>
            </w:r>
            <w:r w:rsidRPr="00877D8E" w:rsidR="007D19AB">
              <w:rPr>
                <w:rFonts w:ascii="Aptos" w:hAnsi="Aptos" w:eastAsia="Aptos" w:cs="Aptos"/>
                <w:b/>
                <w:bCs/>
                <w:sz w:val="12"/>
                <w:szCs w:val="12"/>
              </w:rPr>
              <w:t>Volkswagen</w:t>
            </w:r>
          </w:p>
        </w:tc>
        <w:tc>
          <w:tcPr>
            <w:tcW w:w="2410" w:type="dxa"/>
            <w:tcMar>
              <w:left w:w="105" w:type="dxa"/>
              <w:right w:w="105" w:type="dxa"/>
            </w:tcMar>
            <w:vAlign w:val="center"/>
          </w:tcPr>
          <w:p w:rsidRPr="00877D8E" w:rsidR="00A33C96" w:rsidP="007130D8" w:rsidRDefault="00EA3C84" w14:paraId="5A0EA77F" w14:textId="75257225">
            <w:pPr>
              <w:jc w:val="both"/>
              <w:rPr>
                <w:rFonts w:ascii="Aptos" w:hAnsi="Aptos" w:eastAsia="Aptos" w:cs="Aptos"/>
                <w:sz w:val="12"/>
                <w:szCs w:val="12"/>
              </w:rPr>
            </w:pPr>
            <w:r w:rsidRPr="00877D8E">
              <w:rPr>
                <w:rFonts w:eastAsiaTheme="minorEastAsia"/>
                <w:sz w:val="12"/>
                <w:szCs w:val="12"/>
              </w:rPr>
              <w:t>Volkswagen es uno de los mayores fabricantes automotrices del mundo, con una estructura organizacional altamente jerárquica y centralizada. La toma de decisiones estratégicas estaba fuertemente concentrada en la alta dirección y en las divisiones de ingeniería y desarrollo tecnológico. La cultura corporativa se caracterizaba por una fuerte presión por cumplir objetivos técnicos y comerciales, lo que limitaba la capacidad de cuestionamiento interno.</w:t>
            </w:r>
          </w:p>
        </w:tc>
        <w:tc>
          <w:tcPr>
            <w:tcW w:w="1984" w:type="dxa"/>
            <w:tcMar>
              <w:left w:w="105" w:type="dxa"/>
              <w:right w:w="105" w:type="dxa"/>
            </w:tcMar>
            <w:vAlign w:val="center"/>
          </w:tcPr>
          <w:p w:rsidRPr="00877D8E" w:rsidR="00A33C96" w:rsidP="007130D8" w:rsidRDefault="00003992" w14:paraId="7F3C966A" w14:textId="74A77ED1">
            <w:pPr>
              <w:jc w:val="both"/>
              <w:rPr>
                <w:rFonts w:ascii="Aptos" w:hAnsi="Aptos" w:eastAsia="Aptos" w:cs="Aptos"/>
                <w:sz w:val="12"/>
                <w:szCs w:val="12"/>
              </w:rPr>
            </w:pPr>
            <w:r w:rsidRPr="00877D8E">
              <w:rPr>
                <w:rFonts w:ascii="Aptos" w:hAnsi="Aptos" w:eastAsia="Aptos" w:cs="Aptos"/>
                <w:sz w:val="12"/>
                <w:szCs w:val="12"/>
              </w:rPr>
              <w:t>Las decisiones relacionadas con el desarrollo de motores diésel se tomaban dentro de un entorno de fuerte presión para cumplir con estándares ambientales cada vez más estrictos en mercados como Estados Unidos y Europa. La dirección buscaba mantener la competitividad del motor diésel sin sacrificar rendimiento ni costos. Ante dificultades técnicas para cumplir simultáneamente con los estándares de emisiones y los objetivos de desempeño, algunos ingenieros implementaron software que manipulaba los resultados de las pruebas de emisiones.</w:t>
            </w:r>
          </w:p>
        </w:tc>
        <w:tc>
          <w:tcPr>
            <w:tcW w:w="1985" w:type="dxa"/>
            <w:tcMar>
              <w:left w:w="105" w:type="dxa"/>
              <w:right w:w="105" w:type="dxa"/>
            </w:tcMar>
            <w:vAlign w:val="center"/>
          </w:tcPr>
          <w:p w:rsidRPr="00877D8E" w:rsidR="00A33C96" w:rsidP="007130D8" w:rsidRDefault="0060281F" w14:paraId="52635432" w14:textId="55AE4C69">
            <w:pPr>
              <w:jc w:val="both"/>
              <w:rPr>
                <w:rFonts w:ascii="Aptos" w:hAnsi="Aptos" w:eastAsia="Aptos" w:cs="Aptos"/>
                <w:sz w:val="12"/>
                <w:szCs w:val="12"/>
              </w:rPr>
            </w:pPr>
            <w:r w:rsidRPr="00877D8E">
              <w:rPr>
                <w:rFonts w:ascii="Aptos" w:hAnsi="Aptos" w:eastAsia="Aptos" w:cs="Aptos"/>
                <w:sz w:val="12"/>
                <w:szCs w:val="12"/>
              </w:rPr>
              <w:t>Desde años antes del escándalo existían dudas internas sobre la capacidad de los motores diésel para cumplir con los estándares regulatorios sin comprometer el rendimiento del vehículo. Asimismo, investigadores externos y organismos regulatorios detectaron inconsistencias entre las emisiones registradas en laboratorio y las emisiones reales en carretera. Estas discrepancias fueron inicialmente minimizadas o atribuidas a errores metodológicos.</w:t>
            </w:r>
          </w:p>
        </w:tc>
        <w:tc>
          <w:tcPr>
            <w:tcW w:w="1984" w:type="dxa"/>
            <w:tcMar>
              <w:left w:w="105" w:type="dxa"/>
              <w:right w:w="105" w:type="dxa"/>
            </w:tcMar>
            <w:vAlign w:val="center"/>
          </w:tcPr>
          <w:p w:rsidRPr="00877D8E" w:rsidR="00A33C96" w:rsidP="007130D8" w:rsidRDefault="003809B9" w14:paraId="47A1ED63" w14:textId="41B8B4D0">
            <w:pPr>
              <w:jc w:val="both"/>
              <w:rPr>
                <w:rFonts w:ascii="Aptos" w:hAnsi="Aptos" w:eastAsia="Aptos" w:cs="Aptos"/>
                <w:sz w:val="12"/>
                <w:szCs w:val="12"/>
              </w:rPr>
            </w:pPr>
            <w:r w:rsidRPr="00877D8E">
              <w:rPr>
                <w:rFonts w:ascii="Aptos" w:hAnsi="Aptos" w:eastAsia="Aptos" w:cs="Aptos"/>
                <w:sz w:val="12"/>
                <w:szCs w:val="12"/>
              </w:rPr>
              <w:t>Dentro de la organización se desarrolló una práctica sistemática de utilizar software de manipulación conocido como “</w:t>
            </w:r>
            <w:proofErr w:type="spellStart"/>
            <w:r w:rsidRPr="00877D8E">
              <w:rPr>
                <w:rFonts w:ascii="Aptos" w:hAnsi="Aptos" w:eastAsia="Aptos" w:cs="Aptos"/>
                <w:sz w:val="12"/>
                <w:szCs w:val="12"/>
              </w:rPr>
              <w:t>defeat</w:t>
            </w:r>
            <w:proofErr w:type="spellEnd"/>
            <w:r w:rsidRPr="00877D8E">
              <w:rPr>
                <w:rFonts w:ascii="Aptos" w:hAnsi="Aptos" w:eastAsia="Aptos" w:cs="Aptos"/>
                <w:sz w:val="12"/>
                <w:szCs w:val="12"/>
              </w:rPr>
              <w:t xml:space="preserve"> </w:t>
            </w:r>
            <w:proofErr w:type="spellStart"/>
            <w:r w:rsidRPr="00877D8E">
              <w:rPr>
                <w:rFonts w:ascii="Aptos" w:hAnsi="Aptos" w:eastAsia="Aptos" w:cs="Aptos"/>
                <w:sz w:val="12"/>
                <w:szCs w:val="12"/>
              </w:rPr>
              <w:t>device</w:t>
            </w:r>
            <w:proofErr w:type="spellEnd"/>
            <w:r w:rsidRPr="00877D8E">
              <w:rPr>
                <w:rFonts w:ascii="Aptos" w:hAnsi="Aptos" w:eastAsia="Aptos" w:cs="Aptos"/>
                <w:sz w:val="12"/>
                <w:szCs w:val="12"/>
              </w:rPr>
              <w:t>”, que detectaba cuándo el vehículo estaba siendo sometido a pruebas de laboratorio y activaba temporalmente un modo de bajas emisiones. Esta práctica se integró progresivamente a los procesos de desarrollo tecnológico y fue tolerada como una solución pragmática para cumplir formalmente con la regulación.</w:t>
            </w:r>
          </w:p>
        </w:tc>
        <w:tc>
          <w:tcPr>
            <w:tcW w:w="2127" w:type="dxa"/>
            <w:tcMar>
              <w:left w:w="105" w:type="dxa"/>
              <w:right w:w="105" w:type="dxa"/>
            </w:tcMar>
            <w:vAlign w:val="center"/>
          </w:tcPr>
          <w:p w:rsidRPr="00877D8E" w:rsidR="00A33C96" w:rsidP="007130D8" w:rsidRDefault="000E3FD1" w14:paraId="2A1CC608" w14:textId="6C5E2763">
            <w:pPr>
              <w:jc w:val="both"/>
              <w:rPr>
                <w:rFonts w:ascii="Aptos" w:hAnsi="Aptos" w:eastAsia="Aptos" w:cs="Aptos"/>
                <w:sz w:val="12"/>
                <w:szCs w:val="12"/>
              </w:rPr>
            </w:pPr>
            <w:r w:rsidRPr="00877D8E">
              <w:rPr>
                <w:rFonts w:ascii="Aptos" w:hAnsi="Aptos" w:eastAsia="Aptos" w:cs="Aptos"/>
                <w:sz w:val="12"/>
                <w:szCs w:val="12"/>
              </w:rPr>
              <w:t>Con el tiempo se acumularon múltiples fallas estructurales: cultura corporativa orientada a resultados a cualquier costo, presión por liderazgo tecnológico en el mercado global, supervisión interna insuficiente, controles regulatorios basados principalmente en pruebas de laboratorio y falta de transparencia en los procesos de desarrollo del software automotriz. Estas debilidades permanecieron ocultas durante varios años.</w:t>
            </w:r>
          </w:p>
        </w:tc>
        <w:tc>
          <w:tcPr>
            <w:tcW w:w="2126" w:type="dxa"/>
            <w:tcMar>
              <w:left w:w="105" w:type="dxa"/>
              <w:right w:w="105" w:type="dxa"/>
            </w:tcMar>
            <w:vAlign w:val="center"/>
          </w:tcPr>
          <w:p w:rsidRPr="00877D8E" w:rsidR="00A33C96" w:rsidP="007130D8" w:rsidRDefault="00525AD7" w14:paraId="2CE5FD4B" w14:textId="63FA8902">
            <w:pPr>
              <w:jc w:val="both"/>
              <w:rPr>
                <w:rFonts w:ascii="Aptos" w:hAnsi="Aptos" w:eastAsia="Aptos" w:cs="Aptos"/>
                <w:sz w:val="12"/>
                <w:szCs w:val="12"/>
              </w:rPr>
            </w:pPr>
            <w:r w:rsidRPr="00877D8E">
              <w:rPr>
                <w:rFonts w:ascii="Aptos" w:hAnsi="Aptos" w:eastAsia="Aptos" w:cs="Aptos"/>
                <w:sz w:val="12"/>
                <w:szCs w:val="12"/>
              </w:rPr>
              <w:t xml:space="preserve">El punto crítico ocurrió en 2015, cuando investigadores de la International Council </w:t>
            </w:r>
            <w:proofErr w:type="spellStart"/>
            <w:r w:rsidRPr="00877D8E">
              <w:rPr>
                <w:rFonts w:ascii="Aptos" w:hAnsi="Aptos" w:eastAsia="Aptos" w:cs="Aptos"/>
                <w:sz w:val="12"/>
                <w:szCs w:val="12"/>
              </w:rPr>
              <w:t>on</w:t>
            </w:r>
            <w:proofErr w:type="spellEnd"/>
            <w:r w:rsidRPr="00877D8E">
              <w:rPr>
                <w:rFonts w:ascii="Aptos" w:hAnsi="Aptos" w:eastAsia="Aptos" w:cs="Aptos"/>
                <w:sz w:val="12"/>
                <w:szCs w:val="12"/>
              </w:rPr>
              <w:t xml:space="preserve"> </w:t>
            </w:r>
            <w:proofErr w:type="spellStart"/>
            <w:r w:rsidRPr="00877D8E">
              <w:rPr>
                <w:rFonts w:ascii="Aptos" w:hAnsi="Aptos" w:eastAsia="Aptos" w:cs="Aptos"/>
                <w:sz w:val="12"/>
                <w:szCs w:val="12"/>
              </w:rPr>
              <w:t>Clean</w:t>
            </w:r>
            <w:proofErr w:type="spellEnd"/>
            <w:r w:rsidRPr="00877D8E">
              <w:rPr>
                <w:rFonts w:ascii="Aptos" w:hAnsi="Aptos" w:eastAsia="Aptos" w:cs="Aptos"/>
                <w:sz w:val="12"/>
                <w:szCs w:val="12"/>
              </w:rPr>
              <w:t xml:space="preserve"> </w:t>
            </w:r>
            <w:proofErr w:type="spellStart"/>
            <w:r w:rsidRPr="00877D8E">
              <w:rPr>
                <w:rFonts w:ascii="Aptos" w:hAnsi="Aptos" w:eastAsia="Aptos" w:cs="Aptos"/>
                <w:sz w:val="12"/>
                <w:szCs w:val="12"/>
              </w:rPr>
              <w:t>Transportation</w:t>
            </w:r>
            <w:proofErr w:type="spellEnd"/>
            <w:r w:rsidRPr="00877D8E">
              <w:rPr>
                <w:rFonts w:ascii="Aptos" w:hAnsi="Aptos" w:eastAsia="Aptos" w:cs="Aptos"/>
                <w:sz w:val="12"/>
                <w:szCs w:val="12"/>
              </w:rPr>
              <w:t xml:space="preserve"> (ICCT) y la Universidad de West Virginia publicaron estudios que evidenciaban niveles de emisiones significativamente mayores en condiciones reales de conducción. Tras investigaciones posteriores de la </w:t>
            </w:r>
            <w:proofErr w:type="spellStart"/>
            <w:r w:rsidRPr="00877D8E">
              <w:rPr>
                <w:rFonts w:ascii="Aptos" w:hAnsi="Aptos" w:eastAsia="Aptos" w:cs="Aptos"/>
                <w:sz w:val="12"/>
                <w:szCs w:val="12"/>
              </w:rPr>
              <w:t>Environmental</w:t>
            </w:r>
            <w:proofErr w:type="spellEnd"/>
            <w:r w:rsidRPr="00877D8E">
              <w:rPr>
                <w:rFonts w:ascii="Aptos" w:hAnsi="Aptos" w:eastAsia="Aptos" w:cs="Aptos"/>
                <w:sz w:val="12"/>
                <w:szCs w:val="12"/>
              </w:rPr>
              <w:t xml:space="preserve"> </w:t>
            </w:r>
            <w:proofErr w:type="spellStart"/>
            <w:r w:rsidRPr="00877D8E">
              <w:rPr>
                <w:rFonts w:ascii="Aptos" w:hAnsi="Aptos" w:eastAsia="Aptos" w:cs="Aptos"/>
                <w:sz w:val="12"/>
                <w:szCs w:val="12"/>
              </w:rPr>
              <w:t>Protection</w:t>
            </w:r>
            <w:proofErr w:type="spellEnd"/>
            <w:r w:rsidRPr="00877D8E">
              <w:rPr>
                <w:rFonts w:ascii="Aptos" w:hAnsi="Aptos" w:eastAsia="Aptos" w:cs="Aptos"/>
                <w:sz w:val="12"/>
                <w:szCs w:val="12"/>
              </w:rPr>
              <w:t xml:space="preserve"> Agency (EPA) de Estados Unidos, Volkswagen admitió haber instalado software manipulador en aproximadamente 11 millones de vehículos en todo el mundo, desencadenando uno de los mayores escándalos regulatorios en la industria automotriz.</w:t>
            </w:r>
          </w:p>
        </w:tc>
      </w:tr>
      <w:tr w:rsidRPr="00877D8E" w:rsidR="008F1312" w:rsidTr="00877D8E" w14:paraId="1845A49A" w14:textId="77777777">
        <w:trPr>
          <w:cantSplit/>
        </w:trPr>
        <w:tc>
          <w:tcPr>
            <w:tcW w:w="1135" w:type="dxa"/>
            <w:tcMar>
              <w:left w:w="105" w:type="dxa"/>
              <w:right w:w="105" w:type="dxa"/>
            </w:tcMar>
            <w:vAlign w:val="center"/>
          </w:tcPr>
          <w:p w:rsidRPr="00877D8E" w:rsidR="009D6529" w:rsidP="007130D8" w:rsidRDefault="005A2C23" w14:paraId="543B513B" w14:textId="152B83AC">
            <w:pPr>
              <w:jc w:val="both"/>
              <w:rPr>
                <w:rFonts w:ascii="Aptos" w:hAnsi="Aptos" w:eastAsia="Aptos" w:cs="Aptos"/>
                <w:b/>
                <w:bCs/>
                <w:sz w:val="12"/>
                <w:szCs w:val="12"/>
              </w:rPr>
            </w:pPr>
            <w:r w:rsidRPr="00877D8E">
              <w:rPr>
                <w:rFonts w:ascii="Aptos" w:hAnsi="Aptos" w:eastAsia="Aptos" w:cs="Aptos"/>
                <w:b/>
                <w:bCs/>
                <w:sz w:val="12"/>
                <w:szCs w:val="12"/>
              </w:rPr>
              <w:t xml:space="preserve">Caso </w:t>
            </w:r>
            <w:proofErr w:type="spellStart"/>
            <w:r w:rsidRPr="00877D8E">
              <w:rPr>
                <w:rFonts w:ascii="Aptos" w:hAnsi="Aptos" w:eastAsia="Aptos" w:cs="Aptos"/>
                <w:b/>
                <w:bCs/>
                <w:sz w:val="12"/>
                <w:szCs w:val="12"/>
              </w:rPr>
              <w:t>Theranos</w:t>
            </w:r>
            <w:proofErr w:type="spellEnd"/>
          </w:p>
        </w:tc>
        <w:tc>
          <w:tcPr>
            <w:tcW w:w="2410" w:type="dxa"/>
            <w:tcMar>
              <w:left w:w="105" w:type="dxa"/>
              <w:right w:w="105" w:type="dxa"/>
            </w:tcMar>
            <w:vAlign w:val="center"/>
          </w:tcPr>
          <w:p w:rsidRPr="00877D8E" w:rsidR="009D6529" w:rsidP="007130D8" w:rsidRDefault="002B6014" w14:paraId="28315DD9" w14:textId="2DBA57E0">
            <w:pPr>
              <w:jc w:val="both"/>
              <w:rPr>
                <w:rFonts w:ascii="Aptos" w:hAnsi="Aptos" w:eastAsia="Aptos" w:cs="Aptos"/>
                <w:sz w:val="12"/>
                <w:szCs w:val="12"/>
              </w:rPr>
            </w:pPr>
            <w:r w:rsidRPr="00877D8E">
              <w:rPr>
                <w:rFonts w:eastAsiaTheme="minorEastAsia"/>
                <w:sz w:val="12"/>
                <w:szCs w:val="12"/>
              </w:rPr>
              <w:t xml:space="preserve">La empresa </w:t>
            </w:r>
            <w:proofErr w:type="spellStart"/>
            <w:r w:rsidRPr="00877D8E">
              <w:rPr>
                <w:rFonts w:eastAsiaTheme="minorEastAsia"/>
                <w:sz w:val="12"/>
                <w:szCs w:val="12"/>
              </w:rPr>
              <w:t>Theranos</w:t>
            </w:r>
            <w:proofErr w:type="spellEnd"/>
            <w:r w:rsidRPr="00877D8E">
              <w:rPr>
                <w:rFonts w:eastAsiaTheme="minorEastAsia"/>
                <w:sz w:val="12"/>
                <w:szCs w:val="12"/>
              </w:rPr>
              <w:t xml:space="preserve"> fue fundada en 2003 por Elizabeth Holmes y operaba bajo una estructura altamente centralizada en su liderazgo. Holmes, como CEO, concentraba gran parte del poder estratégico, mientras que Sunny Balwani, como COO, controlaba las operaciones internas. La junta directiva estaba integrada por figuras políticas y empresariales de alto perfil, pero carecía de expertos en biotecnología o diagnóstico clínico, lo que limitó su capacidad de supervisión técnica.</w:t>
            </w:r>
          </w:p>
        </w:tc>
        <w:tc>
          <w:tcPr>
            <w:tcW w:w="1984" w:type="dxa"/>
            <w:tcMar>
              <w:left w:w="105" w:type="dxa"/>
              <w:right w:w="105" w:type="dxa"/>
            </w:tcMar>
            <w:vAlign w:val="center"/>
          </w:tcPr>
          <w:p w:rsidRPr="00877D8E" w:rsidR="009D6529" w:rsidP="007130D8" w:rsidRDefault="0036046E" w14:paraId="5C3BD59C" w14:textId="70FC9C9A">
            <w:pPr>
              <w:jc w:val="both"/>
              <w:rPr>
                <w:rFonts w:ascii="Aptos" w:hAnsi="Aptos" w:eastAsia="Aptos" w:cs="Aptos"/>
                <w:sz w:val="12"/>
                <w:szCs w:val="12"/>
              </w:rPr>
            </w:pPr>
            <w:r w:rsidRPr="00877D8E">
              <w:rPr>
                <w:rFonts w:ascii="Aptos" w:hAnsi="Aptos" w:eastAsia="Aptos" w:cs="Aptos"/>
                <w:sz w:val="12"/>
                <w:szCs w:val="12"/>
              </w:rPr>
              <w:t xml:space="preserve">La toma de decisiones estaba dominada por el liderazgo de Holmes y </w:t>
            </w:r>
            <w:proofErr w:type="spellStart"/>
            <w:r w:rsidRPr="00877D8E">
              <w:rPr>
                <w:rFonts w:ascii="Aptos" w:hAnsi="Aptos" w:eastAsia="Aptos" w:cs="Aptos"/>
                <w:sz w:val="12"/>
                <w:szCs w:val="12"/>
              </w:rPr>
              <w:t>Balwani</w:t>
            </w:r>
            <w:proofErr w:type="spellEnd"/>
            <w:r w:rsidRPr="00877D8E">
              <w:rPr>
                <w:rFonts w:ascii="Aptos" w:hAnsi="Aptos" w:eastAsia="Aptos" w:cs="Aptos"/>
                <w:sz w:val="12"/>
                <w:szCs w:val="12"/>
              </w:rPr>
              <w:t>, quienes controlaban estrictamente la información sobre el funcionamiento de la tecnología. Las decisiones estratégicas priorizaban el crecimiento empresarial, la captación de inversión y la expansión comercial sobre la validación científica rigurosa. La narrativa de innovación disruptiva fue utilizada para justificar el secretismo organizacional y limitar el escrutinio interno y externo.</w:t>
            </w:r>
          </w:p>
        </w:tc>
        <w:tc>
          <w:tcPr>
            <w:tcW w:w="1985" w:type="dxa"/>
            <w:tcMar>
              <w:left w:w="105" w:type="dxa"/>
              <w:right w:w="105" w:type="dxa"/>
            </w:tcMar>
            <w:vAlign w:val="center"/>
          </w:tcPr>
          <w:p w:rsidRPr="00877D8E" w:rsidR="009D6529" w:rsidP="007130D8" w:rsidRDefault="00710E81" w14:paraId="01A7B25E" w14:textId="77DB5A8B">
            <w:pPr>
              <w:jc w:val="both"/>
              <w:rPr>
                <w:rFonts w:ascii="Aptos" w:hAnsi="Aptos" w:eastAsia="Aptos" w:cs="Aptos"/>
                <w:sz w:val="12"/>
                <w:szCs w:val="12"/>
              </w:rPr>
            </w:pPr>
            <w:r w:rsidRPr="00877D8E">
              <w:rPr>
                <w:rFonts w:ascii="Aptos" w:hAnsi="Aptos" w:eastAsia="Aptos" w:cs="Aptos"/>
                <w:sz w:val="12"/>
                <w:szCs w:val="12"/>
              </w:rPr>
              <w:t>Desde etapas tempranas surgieron dudas internas sobre la confiabilidad del dispositivo de análisis sanguíneo Edison. Científicos y empleados técnicos reportaron resultados inconsistentes y problemas en los procesos de laboratorio. Asimismo, algunos empleados denunciaron el uso de equipos tradicionales para realizar pruebas que supuestamente eran procesadas mediante tecnología propia. Estas advertencias fueron ignoradas o reprimidas por la dirección.</w:t>
            </w:r>
          </w:p>
        </w:tc>
        <w:tc>
          <w:tcPr>
            <w:tcW w:w="1984" w:type="dxa"/>
            <w:tcMar>
              <w:left w:w="105" w:type="dxa"/>
              <w:right w:w="105" w:type="dxa"/>
            </w:tcMar>
            <w:vAlign w:val="center"/>
          </w:tcPr>
          <w:p w:rsidRPr="00877D8E" w:rsidR="009D6529" w:rsidP="007130D8" w:rsidRDefault="00671AA0" w14:paraId="250D8B40" w14:textId="07B3AF18">
            <w:pPr>
              <w:jc w:val="both"/>
              <w:rPr>
                <w:rFonts w:ascii="Aptos" w:hAnsi="Aptos" w:eastAsia="Aptos" w:cs="Aptos"/>
                <w:sz w:val="12"/>
                <w:szCs w:val="12"/>
              </w:rPr>
            </w:pPr>
            <w:r w:rsidRPr="00877D8E">
              <w:rPr>
                <w:rFonts w:ascii="Aptos" w:hAnsi="Aptos" w:eastAsia="Aptos" w:cs="Aptos"/>
                <w:sz w:val="12"/>
                <w:szCs w:val="12"/>
              </w:rPr>
              <w:t>A medida que la empresa continuó operando, las desviaciones técnicas se normalizaron progresivamente. El uso de tecnología no validada en pruebas clínicas comenzó a ser aceptado como parte de la operación cotidiana. La presión por cumplir metas comerciales y mantener la confianza de inversionistas generó una cultura organizacional donde los riesgos científicos y regulatorios eran minimizados o ignorados.</w:t>
            </w:r>
          </w:p>
        </w:tc>
        <w:tc>
          <w:tcPr>
            <w:tcW w:w="2127" w:type="dxa"/>
            <w:tcMar>
              <w:left w:w="105" w:type="dxa"/>
              <w:right w:w="105" w:type="dxa"/>
            </w:tcMar>
            <w:vAlign w:val="center"/>
          </w:tcPr>
          <w:p w:rsidRPr="00877D8E" w:rsidR="009D6529" w:rsidP="007130D8" w:rsidRDefault="00FF6541" w14:paraId="1C2CFCE8" w14:textId="7C02B74A">
            <w:pPr>
              <w:jc w:val="both"/>
              <w:rPr>
                <w:rFonts w:ascii="Aptos" w:hAnsi="Aptos" w:eastAsia="Aptos" w:cs="Aptos"/>
                <w:sz w:val="12"/>
                <w:szCs w:val="12"/>
              </w:rPr>
            </w:pPr>
            <w:r w:rsidRPr="00877D8E">
              <w:rPr>
                <w:rFonts w:ascii="Aptos" w:hAnsi="Aptos" w:eastAsia="Aptos" w:cs="Aptos"/>
                <w:sz w:val="12"/>
                <w:szCs w:val="12"/>
              </w:rPr>
              <w:t>Se acumularon múltiples debilidades estructurales: ausencia de validación científica independiente, falta de supervisión efectiva por parte de la junta directiva, cultura organizacional de secretismo y temor, mecanismos de denuncia internos ineficaces y supervisión regulatoria insuficiente. Estas fallas permanecieron latentes durante varios años, permitiendo que la empresa continuara operando sin controles rigurosos.</w:t>
            </w:r>
          </w:p>
        </w:tc>
        <w:tc>
          <w:tcPr>
            <w:tcW w:w="2126" w:type="dxa"/>
            <w:tcMar>
              <w:left w:w="105" w:type="dxa"/>
              <w:right w:w="105" w:type="dxa"/>
            </w:tcMar>
            <w:vAlign w:val="center"/>
          </w:tcPr>
          <w:p w:rsidRPr="00877D8E" w:rsidR="009D6529" w:rsidP="007130D8" w:rsidRDefault="00F22464" w14:paraId="2A2847DF" w14:textId="51E2124A">
            <w:pPr>
              <w:jc w:val="both"/>
              <w:rPr>
                <w:rFonts w:ascii="Aptos" w:hAnsi="Aptos" w:eastAsia="Aptos" w:cs="Aptos"/>
                <w:sz w:val="12"/>
                <w:szCs w:val="12"/>
              </w:rPr>
            </w:pPr>
            <w:r w:rsidRPr="00877D8E">
              <w:rPr>
                <w:rFonts w:ascii="Aptos" w:hAnsi="Aptos" w:eastAsia="Aptos" w:cs="Aptos"/>
                <w:sz w:val="12"/>
                <w:szCs w:val="12"/>
              </w:rPr>
              <w:t xml:space="preserve">El punto de inflexión ocurrió en 2015, cuando una investigación periodística del Wall Street </w:t>
            </w:r>
            <w:proofErr w:type="spellStart"/>
            <w:r w:rsidRPr="00877D8E">
              <w:rPr>
                <w:rFonts w:ascii="Aptos" w:hAnsi="Aptos" w:eastAsia="Aptos" w:cs="Aptos"/>
                <w:sz w:val="12"/>
                <w:szCs w:val="12"/>
              </w:rPr>
              <w:t>Journal</w:t>
            </w:r>
            <w:proofErr w:type="spellEnd"/>
            <w:r w:rsidRPr="00877D8E">
              <w:rPr>
                <w:rFonts w:ascii="Aptos" w:hAnsi="Aptos" w:eastAsia="Aptos" w:cs="Aptos"/>
                <w:sz w:val="12"/>
                <w:szCs w:val="12"/>
              </w:rPr>
              <w:t xml:space="preserve"> reveló que la tecnología de </w:t>
            </w:r>
            <w:proofErr w:type="spellStart"/>
            <w:r w:rsidRPr="00877D8E">
              <w:rPr>
                <w:rFonts w:ascii="Aptos" w:hAnsi="Aptos" w:eastAsia="Aptos" w:cs="Aptos"/>
                <w:sz w:val="12"/>
                <w:szCs w:val="12"/>
              </w:rPr>
              <w:t>Theranos</w:t>
            </w:r>
            <w:proofErr w:type="spellEnd"/>
            <w:r w:rsidRPr="00877D8E">
              <w:rPr>
                <w:rFonts w:ascii="Aptos" w:hAnsi="Aptos" w:eastAsia="Aptos" w:cs="Aptos"/>
                <w:sz w:val="12"/>
                <w:szCs w:val="12"/>
              </w:rPr>
              <w:t xml:space="preserve"> no funcionaba como se afirmaba. Las autoridades regulatorias iniciaron investigaciones que confirmaron graves irregularidades en los laboratorios de la empresa. Posteriormente se iniciaron procesos judiciales por fraude contra Holmes y </w:t>
            </w:r>
            <w:proofErr w:type="spellStart"/>
            <w:r w:rsidRPr="00877D8E">
              <w:rPr>
                <w:rFonts w:ascii="Aptos" w:hAnsi="Aptos" w:eastAsia="Aptos" w:cs="Aptos"/>
                <w:sz w:val="12"/>
                <w:szCs w:val="12"/>
              </w:rPr>
              <w:t>Balwani</w:t>
            </w:r>
            <w:proofErr w:type="spellEnd"/>
            <w:r w:rsidRPr="00877D8E">
              <w:rPr>
                <w:rFonts w:ascii="Aptos" w:hAnsi="Aptos" w:eastAsia="Aptos" w:cs="Aptos"/>
                <w:sz w:val="12"/>
                <w:szCs w:val="12"/>
              </w:rPr>
              <w:t>, lo que condujo al colapso definitivo de la organización.</w:t>
            </w:r>
          </w:p>
        </w:tc>
      </w:tr>
      <w:tr w:rsidRPr="00877D8E" w:rsidR="008F1312" w:rsidTr="00877D8E" w14:paraId="4FA2BCAE" w14:textId="77777777">
        <w:trPr>
          <w:cantSplit/>
        </w:trPr>
        <w:tc>
          <w:tcPr>
            <w:tcW w:w="1135" w:type="dxa"/>
            <w:tcMar>
              <w:left w:w="105" w:type="dxa"/>
              <w:right w:w="105" w:type="dxa"/>
            </w:tcMar>
            <w:vAlign w:val="center"/>
          </w:tcPr>
          <w:p w:rsidRPr="00877D8E" w:rsidR="009D6529" w:rsidP="000E7553" w:rsidRDefault="00CA72F9" w14:paraId="4940361B" w14:textId="4A2DB650">
            <w:pPr>
              <w:rPr>
                <w:rFonts w:ascii="Aptos" w:hAnsi="Aptos" w:eastAsia="Aptos" w:cs="Aptos"/>
                <w:b/>
                <w:bCs/>
                <w:sz w:val="12"/>
                <w:szCs w:val="12"/>
              </w:rPr>
            </w:pPr>
            <w:r w:rsidRPr="00877D8E">
              <w:rPr>
                <w:rFonts w:ascii="Aptos" w:hAnsi="Aptos" w:eastAsia="Aptos" w:cs="Aptos"/>
                <w:b/>
                <w:bCs/>
                <w:sz w:val="12"/>
                <w:szCs w:val="12"/>
              </w:rPr>
              <w:lastRenderedPageBreak/>
              <w:t>Subsidios a combustibles Nigeria</w:t>
            </w:r>
          </w:p>
        </w:tc>
        <w:tc>
          <w:tcPr>
            <w:tcW w:w="2410" w:type="dxa"/>
            <w:tcMar>
              <w:left w:w="105" w:type="dxa"/>
              <w:right w:w="105" w:type="dxa"/>
            </w:tcMar>
            <w:vAlign w:val="center"/>
          </w:tcPr>
          <w:p w:rsidRPr="00877D8E" w:rsidR="009D6529" w:rsidP="007130D8" w:rsidRDefault="00BB6102" w14:paraId="676B055C" w14:textId="30327D1C">
            <w:pPr>
              <w:jc w:val="both"/>
              <w:rPr>
                <w:rFonts w:ascii="Aptos" w:hAnsi="Aptos" w:eastAsia="Aptos" w:cs="Aptos"/>
                <w:sz w:val="12"/>
                <w:szCs w:val="12"/>
              </w:rPr>
            </w:pPr>
            <w:r w:rsidRPr="00877D8E">
              <w:rPr>
                <w:rFonts w:eastAsiaTheme="minorEastAsia"/>
                <w:sz w:val="12"/>
                <w:szCs w:val="12"/>
              </w:rPr>
              <w:t xml:space="preserve">El sistema de subsidios a combustibles en Nigeria involucraba múltiples instituciones gubernamentales y actores privados. Entre los principales organismos se encontraban el Ministerio de Finanzas, el </w:t>
            </w:r>
            <w:r w:rsidRPr="00877D8E" w:rsidR="4A3C464F">
              <w:rPr>
                <w:rFonts w:eastAsiaTheme="minorEastAsia"/>
                <w:sz w:val="12"/>
                <w:szCs w:val="12"/>
              </w:rPr>
              <w:t xml:space="preserve">Ministerio de Recursos Petroleros, </w:t>
            </w:r>
            <w:r w:rsidRPr="00877D8E" w:rsidR="630E124A">
              <w:rPr>
                <w:rFonts w:eastAsiaTheme="minorEastAsia"/>
                <w:sz w:val="12"/>
                <w:szCs w:val="12"/>
              </w:rPr>
              <w:t>organismos</w:t>
            </w:r>
            <w:r w:rsidRPr="00877D8E" w:rsidR="63335B5B">
              <w:rPr>
                <w:rFonts w:eastAsiaTheme="minorEastAsia"/>
                <w:sz w:val="12"/>
                <w:szCs w:val="12"/>
              </w:rPr>
              <w:t xml:space="preserve"> reguladores del mercado de combustibles como las agencias encargadas de fijar precios y supervisar la importación y distribución del petróleo refinado, empresas importadoras, compañías petroleras, distribuidores, </w:t>
            </w:r>
            <w:r w:rsidRPr="00877D8E">
              <w:rPr>
                <w:rFonts w:eastAsiaTheme="minorEastAsia"/>
                <w:sz w:val="12"/>
                <w:szCs w:val="12"/>
              </w:rPr>
              <w:t xml:space="preserve">la </w:t>
            </w:r>
            <w:proofErr w:type="spellStart"/>
            <w:r w:rsidRPr="00877D8E">
              <w:rPr>
                <w:rFonts w:eastAsiaTheme="minorEastAsia"/>
                <w:sz w:val="12"/>
                <w:szCs w:val="12"/>
              </w:rPr>
              <w:t>Nigerian</w:t>
            </w:r>
            <w:proofErr w:type="spellEnd"/>
            <w:r w:rsidRPr="00877D8E">
              <w:rPr>
                <w:rFonts w:eastAsiaTheme="minorEastAsia"/>
                <w:sz w:val="12"/>
                <w:szCs w:val="12"/>
              </w:rPr>
              <w:t xml:space="preserve"> </w:t>
            </w:r>
            <w:proofErr w:type="spellStart"/>
            <w:r w:rsidRPr="00877D8E">
              <w:rPr>
                <w:rFonts w:eastAsiaTheme="minorEastAsia"/>
                <w:sz w:val="12"/>
                <w:szCs w:val="12"/>
              </w:rPr>
              <w:t>National</w:t>
            </w:r>
            <w:proofErr w:type="spellEnd"/>
            <w:r w:rsidRPr="00877D8E">
              <w:rPr>
                <w:rFonts w:eastAsiaTheme="minorEastAsia"/>
                <w:sz w:val="12"/>
                <w:szCs w:val="12"/>
              </w:rPr>
              <w:t xml:space="preserve"> </w:t>
            </w:r>
            <w:proofErr w:type="spellStart"/>
            <w:r w:rsidRPr="00877D8E">
              <w:rPr>
                <w:rFonts w:eastAsiaTheme="minorEastAsia"/>
                <w:sz w:val="12"/>
                <w:szCs w:val="12"/>
              </w:rPr>
              <w:t>Petroleum</w:t>
            </w:r>
            <w:proofErr w:type="spellEnd"/>
            <w:r w:rsidRPr="00877D8E">
              <w:rPr>
                <w:rFonts w:eastAsiaTheme="minorEastAsia"/>
                <w:sz w:val="12"/>
                <w:szCs w:val="12"/>
              </w:rPr>
              <w:t xml:space="preserve"> </w:t>
            </w:r>
            <w:proofErr w:type="spellStart"/>
            <w:r w:rsidRPr="00877D8E">
              <w:rPr>
                <w:rFonts w:eastAsiaTheme="minorEastAsia"/>
                <w:sz w:val="12"/>
                <w:szCs w:val="12"/>
              </w:rPr>
              <w:t>Corporation</w:t>
            </w:r>
            <w:proofErr w:type="spellEnd"/>
            <w:r w:rsidRPr="00877D8E">
              <w:rPr>
                <w:rFonts w:eastAsiaTheme="minorEastAsia"/>
                <w:sz w:val="12"/>
                <w:szCs w:val="12"/>
              </w:rPr>
              <w:t xml:space="preserve"> (NNPC), el </w:t>
            </w:r>
            <w:proofErr w:type="spellStart"/>
            <w:r w:rsidRPr="00877D8E">
              <w:rPr>
                <w:rFonts w:eastAsiaTheme="minorEastAsia"/>
                <w:sz w:val="12"/>
                <w:szCs w:val="12"/>
              </w:rPr>
              <w:t>Petroleum</w:t>
            </w:r>
            <w:proofErr w:type="spellEnd"/>
            <w:r w:rsidRPr="00877D8E">
              <w:rPr>
                <w:rFonts w:eastAsiaTheme="minorEastAsia"/>
                <w:sz w:val="12"/>
                <w:szCs w:val="12"/>
              </w:rPr>
              <w:t xml:space="preserve"> </w:t>
            </w:r>
            <w:proofErr w:type="spellStart"/>
            <w:r w:rsidRPr="00877D8E">
              <w:rPr>
                <w:rFonts w:eastAsiaTheme="minorEastAsia"/>
                <w:sz w:val="12"/>
                <w:szCs w:val="12"/>
              </w:rPr>
              <w:t>Products</w:t>
            </w:r>
            <w:proofErr w:type="spellEnd"/>
            <w:r w:rsidRPr="00877D8E">
              <w:rPr>
                <w:rFonts w:eastAsiaTheme="minorEastAsia"/>
                <w:sz w:val="12"/>
                <w:szCs w:val="12"/>
              </w:rPr>
              <w:t xml:space="preserve"> </w:t>
            </w:r>
            <w:proofErr w:type="spellStart"/>
            <w:r w:rsidRPr="00877D8E">
              <w:rPr>
                <w:rFonts w:eastAsiaTheme="minorEastAsia"/>
                <w:sz w:val="12"/>
                <w:szCs w:val="12"/>
              </w:rPr>
              <w:t>Pricing</w:t>
            </w:r>
            <w:proofErr w:type="spellEnd"/>
            <w:r w:rsidRPr="00877D8E">
              <w:rPr>
                <w:rFonts w:eastAsiaTheme="minorEastAsia"/>
                <w:sz w:val="12"/>
                <w:szCs w:val="12"/>
              </w:rPr>
              <w:t xml:space="preserve"> </w:t>
            </w:r>
            <w:proofErr w:type="spellStart"/>
            <w:r w:rsidRPr="00877D8E">
              <w:rPr>
                <w:rFonts w:eastAsiaTheme="minorEastAsia"/>
                <w:sz w:val="12"/>
                <w:szCs w:val="12"/>
              </w:rPr>
              <w:t>Regulatory</w:t>
            </w:r>
            <w:proofErr w:type="spellEnd"/>
            <w:r w:rsidRPr="00877D8E">
              <w:rPr>
                <w:rFonts w:eastAsiaTheme="minorEastAsia"/>
                <w:sz w:val="12"/>
                <w:szCs w:val="12"/>
              </w:rPr>
              <w:t xml:space="preserve"> Agency (PPPRA) y empresas privadas importadoras de combustibles. Esta estructura institucional compleja generó superposición de funciones, debilidades en la supervisión y dificultades para coordinar los mecanismos de control sobre los subsidios.</w:t>
            </w:r>
          </w:p>
        </w:tc>
        <w:tc>
          <w:tcPr>
            <w:tcW w:w="1984" w:type="dxa"/>
            <w:tcMar>
              <w:left w:w="105" w:type="dxa"/>
              <w:right w:w="105" w:type="dxa"/>
            </w:tcMar>
            <w:vAlign w:val="center"/>
          </w:tcPr>
          <w:p w:rsidRPr="00877D8E" w:rsidR="009D6529" w:rsidP="007130D8" w:rsidRDefault="00252CF5" w14:paraId="22431898" w14:textId="7E768C8B">
            <w:pPr>
              <w:jc w:val="both"/>
              <w:rPr>
                <w:rFonts w:ascii="Aptos" w:hAnsi="Aptos" w:eastAsia="Aptos" w:cs="Aptos"/>
                <w:sz w:val="12"/>
                <w:szCs w:val="12"/>
              </w:rPr>
            </w:pPr>
            <w:r w:rsidRPr="00877D8E">
              <w:rPr>
                <w:rFonts w:ascii="Aptos" w:hAnsi="Aptos" w:eastAsia="Aptos" w:cs="Aptos"/>
                <w:sz w:val="12"/>
                <w:szCs w:val="12"/>
              </w:rPr>
              <w:t xml:space="preserve">Las decisiones sobre la asignación y pago de subsidios se tomaban mediante procesos administrativos centralizados, en los cuales las empresas importadoras presentaban reclamaciones al gobierno por los costos del combustible subsidiado. Sin embargo, los </w:t>
            </w:r>
            <w:r w:rsidRPr="00877D8E">
              <w:rPr>
                <w:rFonts w:eastAsiaTheme="minorEastAsia"/>
                <w:sz w:val="12"/>
                <w:szCs w:val="12"/>
              </w:rPr>
              <w:t>procedimientos</w:t>
            </w:r>
            <w:r w:rsidRPr="00877D8E">
              <w:rPr>
                <w:rFonts w:ascii="Aptos" w:hAnsi="Aptos" w:eastAsia="Aptos" w:cs="Aptos"/>
                <w:sz w:val="12"/>
                <w:szCs w:val="12"/>
              </w:rPr>
              <w:t xml:space="preserve"> de verificación y aprobación eran poco rigurosos, lo que permitió la aprobación de pagos sin controles adecuados. En muchos casos, la toma de decisiones estuvo influenciada por intereses políticos y económicos, reduciendo la efectividad de los mecanismos de supervisión.</w:t>
            </w:r>
          </w:p>
        </w:tc>
        <w:tc>
          <w:tcPr>
            <w:tcW w:w="1985" w:type="dxa"/>
            <w:tcMar>
              <w:left w:w="105" w:type="dxa"/>
              <w:right w:w="105" w:type="dxa"/>
            </w:tcMar>
            <w:vAlign w:val="center"/>
          </w:tcPr>
          <w:p w:rsidRPr="00877D8E" w:rsidR="009D6529" w:rsidP="007130D8" w:rsidRDefault="000436EF" w14:paraId="282A8844" w14:textId="313D6F0A">
            <w:pPr>
              <w:jc w:val="both"/>
              <w:rPr>
                <w:rFonts w:ascii="Aptos" w:hAnsi="Aptos" w:eastAsia="Aptos" w:cs="Aptos"/>
                <w:sz w:val="12"/>
                <w:szCs w:val="12"/>
              </w:rPr>
            </w:pPr>
            <w:r w:rsidRPr="00877D8E">
              <w:rPr>
                <w:rFonts w:ascii="Aptos" w:hAnsi="Aptos" w:eastAsia="Aptos" w:cs="Aptos"/>
                <w:sz w:val="12"/>
                <w:szCs w:val="12"/>
              </w:rPr>
              <w:t>Durante varios años surgieron indicios de irregularidades en el sistema de subsidios. Informes de auditoría y denuncias de actores del sector señalaron discrepancias entre las cantidades de combustible importado y las cifras reportadas para recibir subsidios. También se detectaron pagos a empresas inexistentes o por volúmenes de combustible que nunca fueron entregados. Estas advertencias iniciales no generaron reformas significativas en el sistema de control.</w:t>
            </w:r>
          </w:p>
        </w:tc>
        <w:tc>
          <w:tcPr>
            <w:tcW w:w="1984" w:type="dxa"/>
            <w:tcMar>
              <w:left w:w="105" w:type="dxa"/>
              <w:right w:w="105" w:type="dxa"/>
            </w:tcMar>
            <w:vAlign w:val="center"/>
          </w:tcPr>
          <w:p w:rsidRPr="00877D8E" w:rsidR="009D6529" w:rsidP="007130D8" w:rsidRDefault="000F4F85" w14:paraId="1D9C6675" w14:textId="35988447">
            <w:pPr>
              <w:jc w:val="both"/>
              <w:rPr>
                <w:rFonts w:ascii="Aptos" w:hAnsi="Aptos" w:eastAsia="Aptos" w:cs="Aptos"/>
                <w:sz w:val="12"/>
                <w:szCs w:val="12"/>
              </w:rPr>
            </w:pPr>
            <w:r w:rsidRPr="00877D8E">
              <w:rPr>
                <w:rFonts w:ascii="Aptos" w:hAnsi="Aptos" w:eastAsia="Aptos" w:cs="Aptos"/>
                <w:sz w:val="12"/>
                <w:szCs w:val="12"/>
              </w:rPr>
              <w:t>Con el tiempo, prácticas fraudulentas como la presentación de reclamaciones falsas, la manipulación de documentos de importación y la duplicación de pagos se volvieron cada vez más frecuentes. Estas prácticas comenzaron a ser toleradas dentro del sistema administrativo y político, generando una cultura de impunidad en la gestión del subsidio. La corrupción y la falta de sanciones efectivas contribuyeron a que estas irregularidades se integraran al funcionamiento normal del programa.</w:t>
            </w:r>
          </w:p>
        </w:tc>
        <w:tc>
          <w:tcPr>
            <w:tcW w:w="2127" w:type="dxa"/>
            <w:tcMar>
              <w:left w:w="105" w:type="dxa"/>
              <w:right w:w="105" w:type="dxa"/>
            </w:tcMar>
            <w:vAlign w:val="center"/>
          </w:tcPr>
          <w:p w:rsidRPr="00877D8E" w:rsidR="009D6529" w:rsidP="007130D8" w:rsidRDefault="00EB6204" w14:paraId="10B42BF5" w14:textId="170C6762">
            <w:pPr>
              <w:jc w:val="both"/>
              <w:rPr>
                <w:rFonts w:ascii="Aptos" w:hAnsi="Aptos" w:eastAsia="Aptos" w:cs="Aptos"/>
                <w:sz w:val="12"/>
                <w:szCs w:val="12"/>
              </w:rPr>
            </w:pPr>
            <w:r w:rsidRPr="00877D8E">
              <w:rPr>
                <w:rFonts w:ascii="Aptos" w:hAnsi="Aptos" w:eastAsia="Aptos" w:cs="Aptos"/>
                <w:sz w:val="12"/>
                <w:szCs w:val="12"/>
              </w:rPr>
              <w:t>Se acumularon múltiples debilidades estructurales: ausencia de mecanismos robustos de auditoría, falta de coordinación entre las instituciones responsables, sistemas de verificación ineficientes y elevada dependencia de información proporcionada por las propias empresas importadoras. Además, la debilidad institucional y la corrupción sistémica dificultaron la detección y sanción de las irregularidades. Estas fallas latentes permanecieron durante años dentro del sistema.</w:t>
            </w:r>
          </w:p>
        </w:tc>
        <w:tc>
          <w:tcPr>
            <w:tcW w:w="2126" w:type="dxa"/>
            <w:tcMar>
              <w:left w:w="105" w:type="dxa"/>
              <w:right w:w="105" w:type="dxa"/>
            </w:tcMar>
            <w:vAlign w:val="center"/>
          </w:tcPr>
          <w:p w:rsidRPr="00877D8E" w:rsidR="009D6529" w:rsidP="007130D8" w:rsidRDefault="00484EA9" w14:paraId="3E95AEE2" w14:textId="2663C0D9">
            <w:pPr>
              <w:jc w:val="both"/>
              <w:rPr>
                <w:rFonts w:ascii="Aptos" w:hAnsi="Aptos" w:eastAsia="Aptos" w:cs="Aptos"/>
                <w:sz w:val="12"/>
                <w:szCs w:val="12"/>
              </w:rPr>
            </w:pPr>
            <w:r w:rsidRPr="00877D8E">
              <w:rPr>
                <w:rFonts w:ascii="Aptos" w:hAnsi="Aptos" w:eastAsia="Aptos" w:cs="Aptos"/>
                <w:sz w:val="12"/>
                <w:szCs w:val="12"/>
              </w:rPr>
              <w:t>El punto crítico se produjo en 2012, cuando investigaciones parlamentarias y auditorías gubernamentales revelaron un fraude masivo en el programa de subsidios a combustibles. Se descubrió que miles de millones de dólares habían sido pagados de manera indebida a empresas importadoras a través de reclamaciones fraudulentas. El escándalo desencadenó protestas nacionales, investigaciones judiciales y reformas en el sistema de subsidios energéticos del país.</w:t>
            </w:r>
          </w:p>
        </w:tc>
      </w:tr>
      <w:tr w:rsidRPr="00877D8E" w:rsidR="008F1312" w:rsidTr="00877D8E" w14:paraId="5F103E58" w14:textId="77777777">
        <w:trPr>
          <w:cantSplit/>
        </w:trPr>
        <w:tc>
          <w:tcPr>
            <w:tcW w:w="1135" w:type="dxa"/>
            <w:tcMar>
              <w:left w:w="105" w:type="dxa"/>
              <w:right w:w="105" w:type="dxa"/>
            </w:tcMar>
            <w:vAlign w:val="center"/>
          </w:tcPr>
          <w:p w:rsidRPr="009E5976" w:rsidR="002573D4" w:rsidP="009E5976" w:rsidRDefault="002573D4" w14:paraId="5FABA7E4" w14:textId="77777777">
            <w:pPr>
              <w:rPr>
                <w:b/>
                <w:bCs/>
                <w:sz w:val="12"/>
                <w:szCs w:val="12"/>
              </w:rPr>
            </w:pPr>
            <w:r w:rsidRPr="009E5976">
              <w:rPr>
                <w:b/>
                <w:bCs/>
                <w:sz w:val="12"/>
                <w:szCs w:val="12"/>
              </w:rPr>
              <w:t>Subsidios energéticos implementados en Argentina</w:t>
            </w:r>
          </w:p>
          <w:p w:rsidRPr="009E5976" w:rsidR="00EE179C" w:rsidP="009E5976" w:rsidRDefault="00EE179C" w14:paraId="7EC04044" w14:textId="77777777">
            <w:pPr>
              <w:rPr>
                <w:rFonts w:ascii="Aptos" w:hAnsi="Aptos" w:eastAsia="Aptos" w:cs="Aptos"/>
                <w:b/>
                <w:bCs/>
                <w:sz w:val="12"/>
                <w:szCs w:val="12"/>
              </w:rPr>
            </w:pPr>
          </w:p>
        </w:tc>
        <w:tc>
          <w:tcPr>
            <w:tcW w:w="2410" w:type="dxa"/>
            <w:tcMar>
              <w:left w:w="105" w:type="dxa"/>
              <w:right w:w="105" w:type="dxa"/>
            </w:tcMar>
            <w:vAlign w:val="center"/>
          </w:tcPr>
          <w:p w:rsidRPr="00877D8E" w:rsidR="00EE179C" w:rsidP="00C62EFC" w:rsidRDefault="00B86B4B" w14:paraId="306E6777" w14:textId="275C5D99">
            <w:pPr>
              <w:jc w:val="both"/>
              <w:rPr>
                <w:rFonts w:ascii="Aptos" w:hAnsi="Aptos" w:eastAsia="Aptos" w:cs="Aptos"/>
                <w:sz w:val="12"/>
                <w:szCs w:val="12"/>
              </w:rPr>
            </w:pPr>
            <w:r w:rsidRPr="00877D8E">
              <w:rPr>
                <w:rFonts w:ascii="Aptos" w:hAnsi="Aptos" w:eastAsia="Aptos" w:cs="Aptos"/>
                <w:sz w:val="12"/>
                <w:szCs w:val="12"/>
              </w:rPr>
              <w:t>El sistema de subsidios energéticos en Argentina fue administrado principalmente por el Gobierno Nacional a través del Ministerio de Economía, la Secretaría de Energía, y organismos reguladores como el Ente Nacional Regulador de la Electricidad (ENRE) y el Ente Nacional Regulador del Gas (ENARGAS). Las empresas distribuidoras y generadoras de energía también participaron en la implementación del esquema de subsidios. La estructura institucional involucraba múltiples niveles administrativos y actores públicos y privados, lo que generó complejidades en la supervisión y en la coordinación de políticas energéticas.</w:t>
            </w:r>
          </w:p>
        </w:tc>
        <w:tc>
          <w:tcPr>
            <w:tcW w:w="1984" w:type="dxa"/>
            <w:tcMar>
              <w:left w:w="105" w:type="dxa"/>
              <w:right w:w="105" w:type="dxa"/>
            </w:tcMar>
            <w:vAlign w:val="center"/>
          </w:tcPr>
          <w:p w:rsidRPr="00877D8E" w:rsidR="00EE179C" w:rsidP="00C62EFC" w:rsidRDefault="00592431" w14:paraId="16841653" w14:textId="02B45D38">
            <w:pPr>
              <w:jc w:val="both"/>
              <w:rPr>
                <w:rFonts w:ascii="Aptos" w:hAnsi="Aptos" w:eastAsia="Aptos" w:cs="Aptos"/>
                <w:sz w:val="12"/>
                <w:szCs w:val="12"/>
              </w:rPr>
            </w:pPr>
            <w:r w:rsidRPr="00877D8E">
              <w:rPr>
                <w:rFonts w:ascii="Aptos" w:hAnsi="Aptos" w:eastAsia="Aptos" w:cs="Aptos"/>
                <w:sz w:val="12"/>
                <w:szCs w:val="12"/>
              </w:rPr>
              <w:t>Las decisiones sobre la asignación de subsidios energéticos respondían principalmente a objetivos de política económica y social orientados a mantener tarifas de electricidad y gas accesibles para los hogares. Sin embargo, estas decisiones se tomaban frecuentemente bajo criterios políticos y macroeconómicos, con limitada consideración de los impactos fiscales a largo plazo. La falta de mecanismos claros de focalización generó subsidios generalizados que beneficiaban tanto a hogares vulnerables como a sectores con mayor capacidad económica.</w:t>
            </w:r>
          </w:p>
        </w:tc>
        <w:tc>
          <w:tcPr>
            <w:tcW w:w="1985" w:type="dxa"/>
            <w:tcMar>
              <w:left w:w="105" w:type="dxa"/>
              <w:right w:w="105" w:type="dxa"/>
            </w:tcMar>
            <w:vAlign w:val="center"/>
          </w:tcPr>
          <w:p w:rsidRPr="00877D8E" w:rsidR="00EE179C" w:rsidP="00C62EFC" w:rsidRDefault="008408EB" w14:paraId="64593CAD" w14:textId="4FA75C7A">
            <w:pPr>
              <w:jc w:val="both"/>
              <w:rPr>
                <w:rFonts w:ascii="Aptos" w:hAnsi="Aptos" w:eastAsia="Aptos" w:cs="Aptos"/>
                <w:sz w:val="12"/>
                <w:szCs w:val="12"/>
              </w:rPr>
            </w:pPr>
            <w:r w:rsidRPr="00877D8E">
              <w:rPr>
                <w:rFonts w:ascii="Aptos" w:hAnsi="Aptos" w:eastAsia="Aptos" w:cs="Aptos"/>
                <w:sz w:val="12"/>
                <w:szCs w:val="12"/>
              </w:rPr>
              <w:t>Con el tiempo comenzaron a surgir advertencias sobre el aumento sostenido del gasto público destinado a subsidios energéticos. Informes técnicos y análisis de organismos económicos señalaron el creciente peso fiscal del sistema y las distorsiones en los precios de la energía. También se identificaron problemas de eficiencia energética y desincentivos a la inversión en infraestructura</w:t>
            </w:r>
            <w:r w:rsidRPr="00877D8E" w:rsidR="009531DB">
              <w:rPr>
                <w:rFonts w:ascii="Aptos" w:hAnsi="Aptos" w:eastAsia="Aptos" w:cs="Aptos"/>
                <w:sz w:val="12"/>
                <w:szCs w:val="12"/>
              </w:rPr>
              <w:t>.</w:t>
            </w:r>
            <w:r w:rsidRPr="00877D8E" w:rsidR="00F014B5">
              <w:rPr>
                <w:rFonts w:ascii="Aptos" w:hAnsi="Aptos" w:eastAsia="Aptos" w:cs="Aptos"/>
                <w:sz w:val="12"/>
                <w:szCs w:val="12"/>
              </w:rPr>
              <w:t xml:space="preserve"> </w:t>
            </w:r>
            <w:r w:rsidRPr="00877D8E">
              <w:rPr>
                <w:rFonts w:ascii="Aptos" w:hAnsi="Aptos" w:eastAsia="Aptos" w:cs="Aptos"/>
                <w:sz w:val="12"/>
                <w:szCs w:val="12"/>
              </w:rPr>
              <w:t>Estas señales tempranas no generaron reformas inmediatas en el sistema.</w:t>
            </w:r>
          </w:p>
        </w:tc>
        <w:tc>
          <w:tcPr>
            <w:tcW w:w="1984" w:type="dxa"/>
            <w:tcMar>
              <w:left w:w="105" w:type="dxa"/>
              <w:right w:w="105" w:type="dxa"/>
            </w:tcMar>
            <w:vAlign w:val="center"/>
          </w:tcPr>
          <w:p w:rsidRPr="00877D8E" w:rsidR="00EE179C" w:rsidP="00C62EFC" w:rsidRDefault="00EE5A54" w14:paraId="4E79A079" w14:textId="361BB318">
            <w:pPr>
              <w:jc w:val="both"/>
              <w:rPr>
                <w:rFonts w:ascii="Aptos" w:hAnsi="Aptos" w:eastAsia="Aptos" w:cs="Aptos"/>
                <w:sz w:val="12"/>
                <w:szCs w:val="12"/>
              </w:rPr>
            </w:pPr>
            <w:r w:rsidRPr="00877D8E">
              <w:rPr>
                <w:rFonts w:ascii="Aptos" w:hAnsi="Aptos" w:eastAsia="Aptos" w:cs="Aptos"/>
                <w:sz w:val="12"/>
                <w:szCs w:val="12"/>
              </w:rPr>
              <w:t>La permanencia prolongada de tarifas energéticas artificialmente bajas llevó a la consolidación de una cultura institucional y social en la cual los subsidios eran percibidos como un componente permanente del sistema energético. Esta situación redujo la percepción del riesgo fiscal asociado al crecimiento del gasto público y generó resistencia política y social a las reformas tarifarias.</w:t>
            </w:r>
          </w:p>
        </w:tc>
        <w:tc>
          <w:tcPr>
            <w:tcW w:w="2127" w:type="dxa"/>
            <w:tcMar>
              <w:left w:w="105" w:type="dxa"/>
              <w:right w:w="105" w:type="dxa"/>
            </w:tcMar>
            <w:vAlign w:val="center"/>
          </w:tcPr>
          <w:p w:rsidRPr="00877D8E" w:rsidR="00EE179C" w:rsidP="00C62EFC" w:rsidRDefault="00463F4F" w14:paraId="2B0E23D1" w14:textId="2B8EA09C">
            <w:pPr>
              <w:jc w:val="both"/>
              <w:rPr>
                <w:rFonts w:ascii="Aptos" w:hAnsi="Aptos" w:eastAsia="Aptos" w:cs="Aptos"/>
                <w:sz w:val="12"/>
                <w:szCs w:val="12"/>
              </w:rPr>
            </w:pPr>
            <w:r w:rsidRPr="00877D8E">
              <w:rPr>
                <w:rFonts w:ascii="Aptos" w:hAnsi="Aptos" w:eastAsia="Aptos" w:cs="Aptos"/>
                <w:sz w:val="12"/>
                <w:szCs w:val="12"/>
              </w:rPr>
              <w:t>A lo largo del tiempo se acumularon diversas debilidades estructurales: incremento sostenido del gasto fiscal en subsidios, deterioro de la infraestructura energética por falta de inversión, dependencia creciente del financiamiento estatal y falta de mecanismos de focalización eficientes. Estas fallas latentes afectaron la sostenibilidad financiera del sistema energético y del presupuesto público.</w:t>
            </w:r>
          </w:p>
        </w:tc>
        <w:tc>
          <w:tcPr>
            <w:tcW w:w="2126" w:type="dxa"/>
            <w:tcMar>
              <w:left w:w="105" w:type="dxa"/>
              <w:right w:w="105" w:type="dxa"/>
            </w:tcMar>
            <w:vAlign w:val="center"/>
          </w:tcPr>
          <w:p w:rsidRPr="00877D8E" w:rsidR="00EE179C" w:rsidP="00C62EFC" w:rsidRDefault="00A81DDD" w14:paraId="5880C4F1" w14:textId="6D43B722">
            <w:pPr>
              <w:jc w:val="both"/>
              <w:rPr>
                <w:rFonts w:ascii="Aptos" w:hAnsi="Aptos" w:eastAsia="Aptos" w:cs="Aptos"/>
                <w:sz w:val="12"/>
                <w:szCs w:val="12"/>
              </w:rPr>
            </w:pPr>
            <w:r w:rsidRPr="00877D8E">
              <w:rPr>
                <w:rFonts w:ascii="Aptos" w:hAnsi="Aptos" w:eastAsia="Aptos" w:cs="Aptos"/>
                <w:sz w:val="12"/>
                <w:szCs w:val="12"/>
              </w:rPr>
              <w:t>La situación crítica se manifestó cuando el gasto en subsidios energéticos alcanzó niveles significativamente altos dentro del presupuesto nacional, lo que generó presiones fiscales y macroeconómicas. En respuesta, distintos gobiernos iniciaron procesos de reforma tarifaria y reducción gradual de subsidios, lo que provocó fuertes debates políticos y sociales sobre la sostenibilidad del sistema energético y la necesidad de reorganizar el esquema de subsidios.</w:t>
            </w:r>
          </w:p>
        </w:tc>
      </w:tr>
      <w:tr w:rsidRPr="00877D8E" w:rsidR="008F1312" w:rsidTr="00877D8E" w14:paraId="04084D34" w14:textId="77777777">
        <w:trPr>
          <w:cantSplit/>
        </w:trPr>
        <w:tc>
          <w:tcPr>
            <w:tcW w:w="1135" w:type="dxa"/>
            <w:tcMar>
              <w:left w:w="105" w:type="dxa"/>
              <w:right w:w="105" w:type="dxa"/>
            </w:tcMar>
            <w:vAlign w:val="center"/>
          </w:tcPr>
          <w:p w:rsidRPr="009E5976" w:rsidR="00C354EB" w:rsidP="009E5976" w:rsidRDefault="00C354EB" w14:paraId="742E9B3F" w14:textId="55DC96A5">
            <w:pPr>
              <w:rPr>
                <w:b/>
                <w:bCs/>
              </w:rPr>
            </w:pPr>
            <w:r w:rsidRPr="009E5976">
              <w:rPr>
                <w:b/>
                <w:bCs/>
                <w:sz w:val="12"/>
                <w:szCs w:val="12"/>
              </w:rPr>
              <w:t xml:space="preserve">Caso </w:t>
            </w:r>
            <w:r w:rsidRPr="009E5976" w:rsidR="005D09BE">
              <w:rPr>
                <w:b/>
                <w:bCs/>
                <w:sz w:val="12"/>
                <w:szCs w:val="12"/>
              </w:rPr>
              <w:t>vacunación de Filipinas</w:t>
            </w:r>
          </w:p>
        </w:tc>
        <w:tc>
          <w:tcPr>
            <w:tcW w:w="2410" w:type="dxa"/>
            <w:tcMar>
              <w:left w:w="105" w:type="dxa"/>
              <w:right w:w="105" w:type="dxa"/>
            </w:tcMar>
            <w:vAlign w:val="center"/>
          </w:tcPr>
          <w:p w:rsidRPr="00877D8E" w:rsidR="00C354EB" w:rsidP="00C62EFC" w:rsidRDefault="005D09BE" w14:paraId="3B06C64F" w14:textId="3A1EB8E6">
            <w:pPr>
              <w:jc w:val="both"/>
              <w:rPr>
                <w:rFonts w:ascii="Aptos" w:hAnsi="Aptos" w:eastAsia="Aptos" w:cs="Aptos"/>
                <w:sz w:val="12"/>
                <w:szCs w:val="12"/>
              </w:rPr>
            </w:pPr>
            <w:r w:rsidRPr="005D09BE">
              <w:rPr>
                <w:rFonts w:ascii="Aptos" w:hAnsi="Aptos" w:eastAsia="Aptos" w:cs="Aptos"/>
                <w:sz w:val="12"/>
                <w:szCs w:val="12"/>
              </w:rPr>
              <w:t xml:space="preserve">El programa de vacunación contra el dengue en Filipinas fue implementado por el Departamento de Salud de Filipinas (DOH) en colaboración con el gobierno nacional y el fabricante farmacéutico Sanofi Pasteur, productor de la vacuna </w:t>
            </w:r>
            <w:proofErr w:type="spellStart"/>
            <w:r w:rsidRPr="005D09BE">
              <w:rPr>
                <w:rFonts w:ascii="Aptos" w:hAnsi="Aptos" w:eastAsia="Aptos" w:cs="Aptos"/>
                <w:sz w:val="12"/>
                <w:szCs w:val="12"/>
              </w:rPr>
              <w:t>Dengvaxia</w:t>
            </w:r>
            <w:proofErr w:type="spellEnd"/>
            <w:r w:rsidRPr="005D09BE">
              <w:rPr>
                <w:rFonts w:ascii="Aptos" w:hAnsi="Aptos" w:eastAsia="Aptos" w:cs="Aptos"/>
                <w:sz w:val="12"/>
                <w:szCs w:val="12"/>
              </w:rPr>
              <w:t>. La política pública involucró a múltiples actores, incluyendo agencias de salud pública, autoridades educativas y gobiernos locales encargados de la implementación del programa en escuelas. Esta estructura institucional compleja generó desafíos en la coordinación, supervisión y evaluación del programa de vacunación.</w:t>
            </w:r>
          </w:p>
        </w:tc>
        <w:tc>
          <w:tcPr>
            <w:tcW w:w="1984" w:type="dxa"/>
            <w:tcMar>
              <w:left w:w="105" w:type="dxa"/>
              <w:right w:w="105" w:type="dxa"/>
            </w:tcMar>
            <w:vAlign w:val="center"/>
          </w:tcPr>
          <w:p w:rsidRPr="00877D8E" w:rsidR="00C354EB" w:rsidP="00C62EFC" w:rsidRDefault="00043F6F" w14:paraId="0DF29972" w14:textId="0A8F082E">
            <w:pPr>
              <w:jc w:val="both"/>
              <w:rPr>
                <w:rFonts w:ascii="Aptos" w:hAnsi="Aptos" w:eastAsia="Aptos" w:cs="Aptos"/>
                <w:sz w:val="12"/>
                <w:szCs w:val="12"/>
              </w:rPr>
            </w:pPr>
            <w:r w:rsidRPr="00043F6F">
              <w:rPr>
                <w:rFonts w:ascii="Aptos" w:hAnsi="Aptos" w:eastAsia="Aptos" w:cs="Aptos"/>
                <w:sz w:val="12"/>
                <w:szCs w:val="12"/>
              </w:rPr>
              <w:t xml:space="preserve">La decisión de implementar el programa de vacunación se tomó en el marco de una estrategia nacional para reducir la incidencia del dengue, una enfermedad endémica en el país. El gobierno aprobó rápidamente el uso de la vacuna </w:t>
            </w:r>
            <w:proofErr w:type="spellStart"/>
            <w:r w:rsidRPr="00043F6F">
              <w:rPr>
                <w:rFonts w:ascii="Aptos" w:hAnsi="Aptos" w:eastAsia="Aptos" w:cs="Aptos"/>
                <w:sz w:val="12"/>
                <w:szCs w:val="12"/>
              </w:rPr>
              <w:t>Dengvaxia</w:t>
            </w:r>
            <w:proofErr w:type="spellEnd"/>
            <w:r w:rsidRPr="00043F6F">
              <w:rPr>
                <w:rFonts w:ascii="Aptos" w:hAnsi="Aptos" w:eastAsia="Aptos" w:cs="Aptos"/>
                <w:sz w:val="12"/>
                <w:szCs w:val="12"/>
              </w:rPr>
              <w:t xml:space="preserve"> tras su autorización inicial, con el objetivo de inmunizar a cientos de miles de niños en edad escolar. Sin embargo, el proceso de toma de decisiones fue criticado por haberse realizado con rapidez y bajo presión política para mostrar resultados en salud pública.</w:t>
            </w:r>
          </w:p>
        </w:tc>
        <w:tc>
          <w:tcPr>
            <w:tcW w:w="1985" w:type="dxa"/>
            <w:tcMar>
              <w:left w:w="105" w:type="dxa"/>
              <w:right w:w="105" w:type="dxa"/>
            </w:tcMar>
            <w:vAlign w:val="center"/>
          </w:tcPr>
          <w:p w:rsidRPr="00877D8E" w:rsidR="00C354EB" w:rsidP="00C62EFC" w:rsidRDefault="00043F6F" w14:paraId="2EF56E9A" w14:textId="64DF32D9">
            <w:pPr>
              <w:jc w:val="both"/>
              <w:rPr>
                <w:rFonts w:ascii="Aptos" w:hAnsi="Aptos" w:eastAsia="Aptos" w:cs="Aptos"/>
                <w:sz w:val="12"/>
                <w:szCs w:val="12"/>
              </w:rPr>
            </w:pPr>
            <w:r w:rsidRPr="00043F6F">
              <w:rPr>
                <w:rFonts w:ascii="Aptos" w:hAnsi="Aptos" w:eastAsia="Aptos" w:cs="Aptos"/>
                <w:sz w:val="12"/>
                <w:szCs w:val="12"/>
              </w:rPr>
              <w:t>Antes y durante la implementación del programa surgieron preocupaciones científicas sobre la eficacia y seguridad de la vacuna en personas que no habían sido previamente infectadas por el virus del dengue. Algunos expertos advirtieron sobre la necesidad de contar con mayor evidencia clínica y mecanismos de monitoreo más rigurosos. Estas advertencias no fueron plenamente consideradas en la implementación inicial del programa de vacunación masiva.</w:t>
            </w:r>
          </w:p>
        </w:tc>
        <w:tc>
          <w:tcPr>
            <w:tcW w:w="1984" w:type="dxa"/>
            <w:tcMar>
              <w:left w:w="105" w:type="dxa"/>
              <w:right w:w="105" w:type="dxa"/>
            </w:tcMar>
            <w:vAlign w:val="center"/>
          </w:tcPr>
          <w:p w:rsidRPr="00877D8E" w:rsidR="00C354EB" w:rsidP="00C62EFC" w:rsidRDefault="00BC5D9D" w14:paraId="18A0C8AA" w14:textId="6EDEF53E">
            <w:pPr>
              <w:jc w:val="both"/>
              <w:rPr>
                <w:rFonts w:ascii="Aptos" w:hAnsi="Aptos" w:eastAsia="Aptos" w:cs="Aptos"/>
                <w:sz w:val="12"/>
                <w:szCs w:val="12"/>
              </w:rPr>
            </w:pPr>
            <w:r w:rsidRPr="00BC5D9D">
              <w:rPr>
                <w:rFonts w:ascii="Aptos" w:hAnsi="Aptos" w:eastAsia="Aptos" w:cs="Aptos"/>
                <w:sz w:val="12"/>
                <w:szCs w:val="12"/>
              </w:rPr>
              <w:t>A medida que el programa avanzaba, la vacunación masiva fue asumida como una política pública legítima para combatir el dengue. La ausencia de mecanismos de verificación del historial de infección previa de los niños vacunados se convirtió en una práctica aceptada dentro del programa. Esta situación generó una percepción institucional de seguridad basada en la aprobación inicial del producto, reduciendo la percepción del riesgo potencial asociado a su uso.</w:t>
            </w:r>
          </w:p>
        </w:tc>
        <w:tc>
          <w:tcPr>
            <w:tcW w:w="2127" w:type="dxa"/>
            <w:tcMar>
              <w:left w:w="105" w:type="dxa"/>
              <w:right w:w="105" w:type="dxa"/>
            </w:tcMar>
            <w:vAlign w:val="center"/>
          </w:tcPr>
          <w:p w:rsidRPr="00877D8E" w:rsidR="00C354EB" w:rsidP="00C62EFC" w:rsidRDefault="00BC5D9D" w14:paraId="6B3ED681" w14:textId="504E8B47">
            <w:pPr>
              <w:jc w:val="both"/>
              <w:rPr>
                <w:rFonts w:ascii="Aptos" w:hAnsi="Aptos" w:eastAsia="Aptos" w:cs="Aptos"/>
                <w:sz w:val="12"/>
                <w:szCs w:val="12"/>
              </w:rPr>
            </w:pPr>
            <w:r w:rsidRPr="00BC5D9D">
              <w:rPr>
                <w:rFonts w:ascii="Aptos" w:hAnsi="Aptos" w:eastAsia="Aptos" w:cs="Aptos"/>
                <w:sz w:val="12"/>
                <w:szCs w:val="12"/>
              </w:rPr>
              <w:t>Se acumularon diversas debilidades estructurales, entre ellas la falta de sistemas adecuados para identificar a los individuos previamente infectados por dengue, mecanismos limitados de farmacovigilancia y una comunicación institucional insuficiente sobre los posibles riesgos de la vacuna. Estas fallas latentes aumentaron la vulnerabilidad del programa frente a posibles efectos adversos y crisis de confianza pública.</w:t>
            </w:r>
          </w:p>
        </w:tc>
        <w:tc>
          <w:tcPr>
            <w:tcW w:w="2126" w:type="dxa"/>
            <w:tcMar>
              <w:left w:w="105" w:type="dxa"/>
              <w:right w:w="105" w:type="dxa"/>
            </w:tcMar>
            <w:vAlign w:val="center"/>
          </w:tcPr>
          <w:p w:rsidRPr="00877D8E" w:rsidR="00C354EB" w:rsidP="00C62EFC" w:rsidRDefault="00192637" w14:paraId="64B80E45" w14:textId="1135909A">
            <w:pPr>
              <w:jc w:val="both"/>
              <w:rPr>
                <w:rFonts w:ascii="Aptos" w:hAnsi="Aptos" w:eastAsia="Aptos" w:cs="Aptos"/>
                <w:sz w:val="12"/>
                <w:szCs w:val="12"/>
              </w:rPr>
            </w:pPr>
            <w:r w:rsidRPr="00192637">
              <w:rPr>
                <w:rFonts w:ascii="Aptos" w:hAnsi="Aptos" w:eastAsia="Aptos" w:cs="Aptos"/>
                <w:sz w:val="12"/>
                <w:szCs w:val="12"/>
              </w:rPr>
              <w:t xml:space="preserve">El evento crítico ocurrió en </w:t>
            </w:r>
            <w:r w:rsidRPr="00192637">
              <w:rPr>
                <w:rFonts w:ascii="Aptos" w:hAnsi="Aptos" w:eastAsia="Aptos" w:cs="Aptos"/>
                <w:b/>
                <w:bCs/>
                <w:sz w:val="12"/>
                <w:szCs w:val="12"/>
              </w:rPr>
              <w:t>2017</w:t>
            </w:r>
            <w:r w:rsidRPr="00192637">
              <w:rPr>
                <w:rFonts w:ascii="Aptos" w:hAnsi="Aptos" w:eastAsia="Aptos" w:cs="Aptos"/>
                <w:sz w:val="12"/>
                <w:szCs w:val="12"/>
              </w:rPr>
              <w:t xml:space="preserve">, cuando Sanofi anunció nuevos hallazgos científicos que indicaban que la vacuna </w:t>
            </w:r>
            <w:proofErr w:type="spellStart"/>
            <w:r w:rsidRPr="00192637">
              <w:rPr>
                <w:rFonts w:ascii="Aptos" w:hAnsi="Aptos" w:eastAsia="Aptos" w:cs="Aptos"/>
                <w:sz w:val="12"/>
                <w:szCs w:val="12"/>
              </w:rPr>
              <w:t>Dengvaxia</w:t>
            </w:r>
            <w:proofErr w:type="spellEnd"/>
            <w:r w:rsidRPr="00192637">
              <w:rPr>
                <w:rFonts w:ascii="Aptos" w:hAnsi="Aptos" w:eastAsia="Aptos" w:cs="Aptos"/>
                <w:sz w:val="12"/>
                <w:szCs w:val="12"/>
              </w:rPr>
              <w:t xml:space="preserve"> podía aumentar el riesgo de desarrollar dengue grave en personas que nunca habían sido infectadas previamente. Este anuncio generó una crisis política y sanitaria en Filipinas, provocó la suspensión del programa de vacunación, investigaciones gubernamentales y una fuerte pérdida de confianza pública en las campañas de vacunación.</w:t>
            </w:r>
          </w:p>
        </w:tc>
      </w:tr>
    </w:tbl>
    <w:p w:rsidR="00314126" w:rsidP="14954149" w:rsidRDefault="00314126" w14:paraId="416031E4" w14:textId="6692EA28">
      <w:pPr>
        <w:sectPr w:rsidR="00314126" w:rsidSect="001F7A5B">
          <w:pgSz w:w="15840" w:h="12240" w:orient="landscape"/>
          <w:pgMar w:top="1560" w:right="1418" w:bottom="1701" w:left="1418" w:header="709" w:footer="709" w:gutter="0"/>
          <w:cols w:space="708"/>
          <w:titlePg/>
          <w:docGrid w:linePitch="360"/>
        </w:sectPr>
      </w:pPr>
    </w:p>
    <w:p w:rsidR="1C865602" w:rsidP="00944DA3" w:rsidRDefault="009269FE" w14:paraId="3CC97EF2" w14:textId="0C48A5A1">
      <w:pPr>
        <w:pStyle w:val="Ttulo1"/>
        <w:jc w:val="center"/>
        <w:rPr>
          <w:rFonts w:asciiTheme="minorHAnsi" w:hAnsiTheme="minorHAnsi"/>
          <w:b/>
          <w:bCs/>
          <w:color w:val="auto"/>
          <w:sz w:val="24"/>
          <w:szCs w:val="24"/>
        </w:rPr>
      </w:pPr>
      <w:bookmarkStart w:name="_Toc225160620" w:id="25"/>
      <w:r>
        <w:rPr>
          <w:rFonts w:asciiTheme="minorHAnsi" w:hAnsiTheme="minorHAnsi"/>
          <w:b/>
          <w:bCs/>
          <w:color w:val="auto"/>
          <w:sz w:val="24"/>
          <w:szCs w:val="24"/>
        </w:rPr>
        <w:lastRenderedPageBreak/>
        <w:t xml:space="preserve">7. </w:t>
      </w:r>
      <w:r w:rsidRPr="00944DA3" w:rsidR="1C865602">
        <w:rPr>
          <w:rFonts w:asciiTheme="minorHAnsi" w:hAnsiTheme="minorHAnsi"/>
          <w:b/>
          <w:bCs/>
          <w:color w:val="auto"/>
          <w:sz w:val="24"/>
          <w:szCs w:val="24"/>
        </w:rPr>
        <w:t>PATRONES ORGANIZACIONALES Y TIPOLOGÍA DEL RIESGO</w:t>
      </w:r>
      <w:bookmarkEnd w:id="25"/>
    </w:p>
    <w:p w:rsidR="704E30C7" w:rsidP="00944DA3" w:rsidRDefault="704E30C7" w14:paraId="256ED578" w14:textId="02BD3854">
      <w:pPr>
        <w:jc w:val="center"/>
        <w:rPr>
          <w:b/>
          <w:bCs/>
        </w:rPr>
      </w:pPr>
    </w:p>
    <w:p w:rsidRPr="004F4D85" w:rsidR="6FED07B9" w:rsidP="00944DA3" w:rsidRDefault="6FED07B9" w14:paraId="4F65E331" w14:textId="3E7EF6FF">
      <w:pPr>
        <w:spacing w:line="276" w:lineRule="auto"/>
        <w:jc w:val="both"/>
        <w:rPr>
          <w:sz w:val="22"/>
          <w:szCs w:val="22"/>
        </w:rPr>
      </w:pPr>
      <w:r w:rsidRPr="004F4D85">
        <w:rPr>
          <w:sz w:val="22"/>
          <w:szCs w:val="22"/>
        </w:rPr>
        <w:t>El estudio de los fracasos organizacionales se ha consolidado como un eje central en la comprensión del riesgo en contextos institucionales y de política pública. La evidencia empírica proveniente de desastres tecnológicos, colapsos corporativos y programas públicos fallidos demuestra que los eventos críticos no responden a errores aislados, sino a procesos organizacionales complejos en los que convergen fallas estructurales, dinámicas culturales, decisiones bajo presión y debilidades en los sistemas de control (Perrow, 1984; Reason, 1997).</w:t>
      </w:r>
    </w:p>
    <w:p w:rsidRPr="00944DA3" w:rsidR="6FED07B9" w:rsidP="00944DA3" w:rsidRDefault="6FED07B9" w14:paraId="225A58D7" w14:textId="511FA60F">
      <w:pPr>
        <w:spacing w:line="276" w:lineRule="auto"/>
        <w:jc w:val="both"/>
        <w:rPr>
          <w:sz w:val="22"/>
          <w:szCs w:val="22"/>
        </w:rPr>
      </w:pPr>
      <w:r w:rsidRPr="004F4D85">
        <w:rPr>
          <w:sz w:val="22"/>
          <w:szCs w:val="22"/>
        </w:rPr>
        <w:t xml:space="preserve">Desde una perspectiva sistémica, el riesgo organizacional debe entenderse como una propiedad emergente de los sistemas institucionales. Perrow (1984) advierte </w:t>
      </w:r>
      <w:r w:rsidRPr="704E30C7" w:rsidR="20E351CB">
        <w:rPr>
          <w:sz w:val="22"/>
          <w:szCs w:val="22"/>
        </w:rPr>
        <w:t>que,</w:t>
      </w:r>
      <w:r w:rsidRPr="00944DA3">
        <w:rPr>
          <w:sz w:val="22"/>
          <w:szCs w:val="22"/>
        </w:rPr>
        <w:t xml:space="preserve"> en organizaciones caracterizadas por alta complejidad e interdependencia, los fallos son, en cierta medida, inevitables debido a la interacción no lineal entre sus componentes. En complemento, Reason (1997) plantea que los accidentes ocurren cuando múltiples fallas latentes —dispersas en distintos niveles organizacionales— se alinean, permitiendo la materialización del riesgo. Por su parte, Vaughan (1996) demuestra que las organizaciones tienden a normalizar progresivamente las desviaciones, reinterpretando prácticas riesgosas como aceptables cuando no generan consecuencias inmediatas.</w:t>
      </w:r>
    </w:p>
    <w:p w:rsidRPr="00944DA3" w:rsidR="7C17337F" w:rsidP="00944DA3" w:rsidRDefault="6FED07B9" w14:paraId="4E4A4FDF" w14:textId="4ED2D003">
      <w:pPr>
        <w:spacing w:line="276" w:lineRule="auto"/>
        <w:jc w:val="both"/>
        <w:rPr>
          <w:sz w:val="22"/>
          <w:szCs w:val="22"/>
        </w:rPr>
      </w:pPr>
      <w:r w:rsidRPr="00944DA3">
        <w:rPr>
          <w:sz w:val="22"/>
          <w:szCs w:val="22"/>
        </w:rPr>
        <w:t>A partir de estos enfoques, el análisis comparado de casos internacionales en sectores como energía, infraestructura, industria y política pública permite identificar patrones organizacionales recurrentes que explican la acumulación progresiva de vulnerabilidades. Estos patrones no solo describen el comportamiento de las organizaciones, sino que constituyen la base para estructurar una tipología integral del riesgo aplicable a la gestión pública.</w:t>
      </w:r>
      <w:r w:rsidR="00B5446A">
        <w:rPr>
          <w:sz w:val="22"/>
          <w:szCs w:val="22"/>
        </w:rPr>
        <w:t xml:space="preserve"> </w:t>
      </w:r>
      <w:r w:rsidRPr="00944DA3" w:rsidR="7C17337F">
        <w:rPr>
          <w:sz w:val="22"/>
          <w:szCs w:val="22"/>
        </w:rPr>
        <w:t>El análisis evidencia que los fallos organizacionales comparten regularidades que trascienden sectores y contextos:</w:t>
      </w:r>
    </w:p>
    <w:p w:rsidRPr="00944DA3" w:rsidR="7C17337F" w:rsidP="00944DA3" w:rsidRDefault="7C17337F" w14:paraId="5F4B7939" w14:textId="30CFD7B7">
      <w:pPr>
        <w:spacing w:line="276" w:lineRule="auto"/>
        <w:jc w:val="both"/>
        <w:rPr>
          <w:sz w:val="22"/>
          <w:szCs w:val="22"/>
        </w:rPr>
      </w:pPr>
      <w:r w:rsidRPr="00944DA3">
        <w:rPr>
          <w:sz w:val="22"/>
          <w:szCs w:val="22"/>
        </w:rPr>
        <w:t>En primer lugar, los riesgos se incuban durante largos periodos antes de manifestarse, lo que confirma que los eventos críticos son la fase visible de procesos acumulativos (Turner, 1978). En segundo lugar, las organizaciones disponen de señales tempranas de advertencia que, sin embargo, son ignoradas, subestimadas o reinterpretadas. En tercer lugar, la repetición de desviaciones sin consecuencias inmediatas genera una falsa percepción de control, debilitando los estándares de seguridad. Finalmente, los sistemas de regulación y supervisión suelen actuar de manera reactiva, interviniendo una vez el daño ya se ha materializado.</w:t>
      </w:r>
    </w:p>
    <w:p w:rsidRPr="00944DA3" w:rsidR="7C17337F" w:rsidP="00944DA3" w:rsidRDefault="7C17337F" w14:paraId="6DF37253" w14:textId="2B35857E">
      <w:pPr>
        <w:spacing w:line="276" w:lineRule="auto"/>
        <w:jc w:val="both"/>
        <w:rPr>
          <w:sz w:val="22"/>
          <w:szCs w:val="22"/>
        </w:rPr>
      </w:pPr>
      <w:r w:rsidRPr="00944DA3">
        <w:rPr>
          <w:sz w:val="22"/>
          <w:szCs w:val="22"/>
        </w:rPr>
        <w:t>Un elemento transversal a estos patrones es la</w:t>
      </w:r>
      <w:r w:rsidRPr="00944DA3">
        <w:rPr>
          <w:b/>
          <w:bCs/>
          <w:sz w:val="22"/>
          <w:szCs w:val="22"/>
        </w:rPr>
        <w:t xml:space="preserve"> desconexión entre conocimiento técnico y decisión organizacional.</w:t>
      </w:r>
      <w:r w:rsidRPr="00944DA3">
        <w:rPr>
          <w:sz w:val="22"/>
          <w:szCs w:val="22"/>
        </w:rPr>
        <w:t xml:space="preserve"> La evidencia muestra que, incluso cuando existe información suficiente sobre riesgos, esta no logra incidir en las decisiones estratégicas debido a presiones políticas, económicas o reputacionales. De este modo, el problema central no radica en la falta de información, sino en las limitaciones institucionales para procesarla e integrarla en la toma de decisiones.</w:t>
      </w:r>
    </w:p>
    <w:p w:rsidR="7C17337F" w:rsidP="00944DA3" w:rsidRDefault="7C17337F" w14:paraId="6920E5DF" w14:textId="151D7DBA">
      <w:pPr>
        <w:spacing w:line="276" w:lineRule="auto"/>
        <w:jc w:val="both"/>
        <w:rPr>
          <w:sz w:val="22"/>
          <w:szCs w:val="22"/>
        </w:rPr>
      </w:pPr>
      <w:r w:rsidRPr="00944DA3">
        <w:rPr>
          <w:sz w:val="22"/>
          <w:szCs w:val="22"/>
        </w:rPr>
        <w:t xml:space="preserve">Estos patrones revelan que el riesgo organizacional no es un fenómeno excepcional, sino una condición inherente al funcionamiento de sistemas institucionales complejos. En consecuencia, </w:t>
      </w:r>
      <w:r w:rsidRPr="00944DA3">
        <w:rPr>
          <w:sz w:val="22"/>
          <w:szCs w:val="22"/>
        </w:rPr>
        <w:lastRenderedPageBreak/>
        <w:t>su gestión exige comprender las dinámicas internas que permiten la acumulación silenciosa de fallas.</w:t>
      </w:r>
    </w:p>
    <w:p w:rsidR="003C4A50" w:rsidP="704E30C7" w:rsidRDefault="7D64FEBC" w14:paraId="2EE5420E" w14:textId="4032A89C">
      <w:pPr>
        <w:spacing w:line="276" w:lineRule="auto"/>
        <w:jc w:val="both"/>
        <w:rPr>
          <w:sz w:val="22"/>
          <w:szCs w:val="22"/>
        </w:rPr>
      </w:pPr>
      <w:r w:rsidRPr="704E30C7">
        <w:rPr>
          <w:sz w:val="22"/>
          <w:szCs w:val="22"/>
        </w:rPr>
        <w:t>Los patrones identificados no solo explican los fallos, sino que permiten estructurar una tipología analítica del riesgo, útil para el diseño, implementación y evaluación de políticas públicas. Esta tipología integra tanto enfoques teóricos clásicos como marcos institucionales aplicados al sector público.</w:t>
      </w:r>
    </w:p>
    <w:p w:rsidRPr="001F7A5B" w:rsidR="00C42F10" w:rsidP="001F7A5B" w:rsidRDefault="00C42F10" w14:paraId="308D22B8" w14:textId="13AA802A">
      <w:pPr>
        <w:spacing w:line="276" w:lineRule="auto"/>
        <w:jc w:val="center"/>
        <w:rPr>
          <w:i/>
          <w:iCs/>
          <w:sz w:val="20"/>
          <w:szCs w:val="20"/>
        </w:rPr>
      </w:pPr>
      <w:r w:rsidRPr="001F7A5B">
        <w:rPr>
          <w:b/>
          <w:bCs/>
          <w:i/>
          <w:iCs/>
          <w:sz w:val="20"/>
          <w:szCs w:val="20"/>
        </w:rPr>
        <w:t>Ilustración 2</w:t>
      </w:r>
      <w:r w:rsidRPr="001F7A5B">
        <w:rPr>
          <w:i/>
          <w:iCs/>
          <w:sz w:val="20"/>
          <w:szCs w:val="20"/>
        </w:rPr>
        <w:t xml:space="preserve">. </w:t>
      </w:r>
      <w:r w:rsidRPr="001F7A5B" w:rsidR="00EA0621">
        <w:rPr>
          <w:i/>
          <w:iCs/>
          <w:sz w:val="20"/>
          <w:szCs w:val="20"/>
        </w:rPr>
        <w:t>Riesgos organizacionales</w:t>
      </w:r>
    </w:p>
    <w:p w:rsidR="003C4A50" w:rsidP="00463662" w:rsidRDefault="003C4A50" w14:paraId="74ECA3D1" w14:textId="4E4CDF87">
      <w:pPr>
        <w:spacing w:line="276" w:lineRule="auto"/>
        <w:jc w:val="center"/>
        <w:rPr>
          <w:sz w:val="22"/>
          <w:szCs w:val="22"/>
        </w:rPr>
      </w:pPr>
      <w:r w:rsidRPr="003C4A50">
        <w:rPr>
          <w:noProof/>
          <w:sz w:val="22"/>
          <w:szCs w:val="22"/>
        </w:rPr>
        <w:drawing>
          <wp:inline distT="0" distB="0" distL="0" distR="0" wp14:anchorId="762820B8" wp14:editId="722B5858">
            <wp:extent cx="4550858" cy="3578419"/>
            <wp:effectExtent l="0" t="0" r="2540" b="3175"/>
            <wp:docPr id="21287750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75082" name=""/>
                    <pic:cNvPicPr/>
                  </pic:nvPicPr>
                  <pic:blipFill>
                    <a:blip r:embed="rId16"/>
                    <a:stretch>
                      <a:fillRect/>
                    </a:stretch>
                  </pic:blipFill>
                  <pic:spPr>
                    <a:xfrm>
                      <a:off x="0" y="0"/>
                      <a:ext cx="4573767" cy="3596433"/>
                    </a:xfrm>
                    <a:prstGeom prst="rect">
                      <a:avLst/>
                    </a:prstGeom>
                  </pic:spPr>
                </pic:pic>
              </a:graphicData>
            </a:graphic>
          </wp:inline>
        </w:drawing>
      </w:r>
    </w:p>
    <w:p w:rsidR="00EA0621" w:rsidP="001F7A5B" w:rsidRDefault="00EA0621" w14:paraId="36F9806C" w14:textId="06EF488A">
      <w:pPr>
        <w:spacing w:line="276" w:lineRule="auto"/>
        <w:jc w:val="center"/>
        <w:rPr>
          <w:i/>
          <w:iCs/>
          <w:sz w:val="22"/>
          <w:szCs w:val="22"/>
        </w:rPr>
      </w:pPr>
      <w:r w:rsidRPr="001F7A5B">
        <w:rPr>
          <w:i/>
          <w:iCs/>
          <w:sz w:val="20"/>
          <w:szCs w:val="20"/>
        </w:rPr>
        <w:t>Fuente: Elaboración propia.</w:t>
      </w:r>
    </w:p>
    <w:p w:rsidRPr="004568BA" w:rsidR="00733E64" w:rsidP="00733E64" w:rsidRDefault="7D64FEBC" w14:paraId="3BBD23DE" w14:textId="5B1CE6A8">
      <w:pPr>
        <w:spacing w:line="276" w:lineRule="auto"/>
        <w:jc w:val="both"/>
        <w:rPr>
          <w:i/>
          <w:iCs/>
          <w:sz w:val="22"/>
          <w:szCs w:val="22"/>
        </w:rPr>
      </w:pPr>
      <w:r w:rsidRPr="704E30C7">
        <w:rPr>
          <w:i/>
          <w:iCs/>
          <w:sz w:val="22"/>
          <w:szCs w:val="22"/>
        </w:rPr>
        <w:t>Riesgos estructurales</w:t>
      </w:r>
      <w:r w:rsidR="004568BA">
        <w:rPr>
          <w:i/>
          <w:iCs/>
          <w:sz w:val="22"/>
          <w:szCs w:val="22"/>
        </w:rPr>
        <w:t xml:space="preserve">. </w:t>
      </w:r>
      <w:r w:rsidRPr="00733E64" w:rsidR="00733E64">
        <w:rPr>
          <w:sz w:val="22"/>
          <w:szCs w:val="22"/>
        </w:rPr>
        <w:t xml:space="preserve">Se refieren a las limitaciones derivadas del diseño institucional, las reglas formales y la distribución de competencias dentro del Estado. Estos riesgos surgen cuando existen debilidades en las capacidades institucionales, fragmentación organizacional o ausencia de mecanismos efectivos de control, lo que condiciona la implementación y efectividad de las políticas públicas desde su origen (North, 1990; Fukuyama, 2013; </w:t>
      </w:r>
      <w:proofErr w:type="spellStart"/>
      <w:r w:rsidRPr="00733E64" w:rsidR="00733E64">
        <w:rPr>
          <w:sz w:val="22"/>
          <w:szCs w:val="22"/>
        </w:rPr>
        <w:t>Acemoglu</w:t>
      </w:r>
      <w:proofErr w:type="spellEnd"/>
      <w:r w:rsidRPr="00733E64" w:rsidR="00733E64">
        <w:rPr>
          <w:sz w:val="22"/>
          <w:szCs w:val="22"/>
        </w:rPr>
        <w:t xml:space="preserve"> &amp; Robinson, 2012).</w:t>
      </w:r>
    </w:p>
    <w:p w:rsidRPr="006E163B" w:rsidR="006E163B" w:rsidP="006E163B" w:rsidRDefault="7D64FEBC" w14:paraId="3535E0CC" w14:textId="46FD996D">
      <w:pPr>
        <w:spacing w:line="276" w:lineRule="auto"/>
        <w:jc w:val="both"/>
        <w:rPr>
          <w:i/>
          <w:iCs/>
          <w:sz w:val="22"/>
          <w:szCs w:val="22"/>
        </w:rPr>
      </w:pPr>
      <w:r w:rsidRPr="704E30C7">
        <w:rPr>
          <w:i/>
          <w:iCs/>
          <w:sz w:val="22"/>
          <w:szCs w:val="22"/>
        </w:rPr>
        <w:t>Riesgos culturales</w:t>
      </w:r>
      <w:r w:rsidR="00C17724">
        <w:rPr>
          <w:i/>
          <w:iCs/>
          <w:sz w:val="22"/>
          <w:szCs w:val="22"/>
        </w:rPr>
        <w:t xml:space="preserve">. </w:t>
      </w:r>
      <w:r w:rsidRPr="006E163B" w:rsidR="006E163B">
        <w:rPr>
          <w:sz w:val="22"/>
          <w:szCs w:val="22"/>
        </w:rPr>
        <w:t>Corresponden a los efectos de los valores, normas y patrones de comportamiento compartidos dentro de las organizaciones. Se manifiestan cuando la cultura organizacional desalienta el pensamiento crítico, favorece la obediencia jerárquica o tolera prácticas ineficientes, afectando la transparencia, la innovación y la rendición de cuentas en el sector público (Schein, 2010; Douglas, 1992; Hood, 1991).</w:t>
      </w:r>
    </w:p>
    <w:p w:rsidR="00C17724" w:rsidP="704E30C7" w:rsidRDefault="7D64FEBC" w14:paraId="41EC8A6A" w14:textId="2A86D20F">
      <w:pPr>
        <w:spacing w:line="276" w:lineRule="auto"/>
        <w:jc w:val="both"/>
        <w:rPr>
          <w:sz w:val="22"/>
          <w:szCs w:val="22"/>
        </w:rPr>
      </w:pPr>
      <w:r w:rsidRPr="704E30C7">
        <w:rPr>
          <w:i/>
          <w:iCs/>
          <w:sz w:val="22"/>
          <w:szCs w:val="22"/>
        </w:rPr>
        <w:t>Riesgos decisionales</w:t>
      </w:r>
      <w:r w:rsidR="00C17724">
        <w:rPr>
          <w:i/>
          <w:iCs/>
          <w:sz w:val="22"/>
          <w:szCs w:val="22"/>
        </w:rPr>
        <w:t xml:space="preserve">. </w:t>
      </w:r>
      <w:r w:rsidRPr="006E163B" w:rsidR="006E163B">
        <w:rPr>
          <w:sz w:val="22"/>
          <w:szCs w:val="22"/>
        </w:rPr>
        <w:t xml:space="preserve">Se originan en los procesos de toma de decisiones bajo condiciones de racionalidad limitada, incertidumbre e información incompleta. En contextos institucionales, </w:t>
      </w:r>
      <w:r w:rsidRPr="006E163B" w:rsidR="006E163B">
        <w:rPr>
          <w:sz w:val="22"/>
          <w:szCs w:val="22"/>
        </w:rPr>
        <w:lastRenderedPageBreak/>
        <w:t>estos riesgos se evidencian cuando los decisores priorizan objetivos de corto plazo o están influenciados por sesgos cognitivos y presiones externas, en detrimento de criterios técnicos y estratégicos (</w:t>
      </w:r>
      <w:proofErr w:type="spellStart"/>
      <w:r w:rsidRPr="006E163B" w:rsidR="006E163B">
        <w:rPr>
          <w:sz w:val="22"/>
          <w:szCs w:val="22"/>
        </w:rPr>
        <w:t>Simon</w:t>
      </w:r>
      <w:proofErr w:type="spellEnd"/>
      <w:r w:rsidRPr="006E163B" w:rsidR="006E163B">
        <w:rPr>
          <w:sz w:val="22"/>
          <w:szCs w:val="22"/>
        </w:rPr>
        <w:t>, 1997; Kahneman, 2011; March, 1994).</w:t>
      </w:r>
    </w:p>
    <w:p w:rsidR="00C17724" w:rsidP="704E30C7" w:rsidRDefault="7D64FEBC" w14:paraId="4D131A51" w14:textId="77777777">
      <w:pPr>
        <w:spacing w:line="276" w:lineRule="auto"/>
        <w:jc w:val="both"/>
        <w:rPr>
          <w:sz w:val="22"/>
          <w:szCs w:val="22"/>
        </w:rPr>
      </w:pPr>
      <w:r w:rsidRPr="704E30C7">
        <w:rPr>
          <w:i/>
          <w:iCs/>
          <w:sz w:val="22"/>
          <w:szCs w:val="22"/>
        </w:rPr>
        <w:t>Riesgos estratégicos</w:t>
      </w:r>
      <w:r w:rsidR="00C17724">
        <w:rPr>
          <w:i/>
          <w:iCs/>
          <w:sz w:val="22"/>
          <w:szCs w:val="22"/>
        </w:rPr>
        <w:t xml:space="preserve">. </w:t>
      </w:r>
      <w:r w:rsidRPr="00513876" w:rsidR="00513876">
        <w:rPr>
          <w:sz w:val="22"/>
          <w:szCs w:val="22"/>
        </w:rPr>
        <w:t>Se presentan cuando existe una falta de alineación entre los objetivos institucionales, las capacidades organizacionales y el entorno en el que se implementan las políticas. Estos riesgos afectan la coherencia, sostenibilidad y efectividad de las estrategias públicas, especialmente cuando no se consideran adecuadamente factores internos y externos (Bryson, 2018; Mintzberg et al., 2009; Porter, 1996).</w:t>
      </w:r>
    </w:p>
    <w:p w:rsidR="004568BA" w:rsidP="00C17724" w:rsidRDefault="7D64FEBC" w14:paraId="16DF7AFF" w14:textId="77777777">
      <w:pPr>
        <w:spacing w:line="276" w:lineRule="auto"/>
        <w:jc w:val="both"/>
        <w:rPr>
          <w:sz w:val="22"/>
          <w:szCs w:val="22"/>
        </w:rPr>
      </w:pPr>
      <w:r w:rsidRPr="704E30C7">
        <w:rPr>
          <w:i/>
          <w:iCs/>
          <w:sz w:val="22"/>
          <w:szCs w:val="22"/>
        </w:rPr>
        <w:t>Riesgos operativos</w:t>
      </w:r>
      <w:r w:rsidR="00C17724">
        <w:rPr>
          <w:i/>
          <w:iCs/>
          <w:sz w:val="22"/>
          <w:szCs w:val="22"/>
        </w:rPr>
        <w:t xml:space="preserve">. </w:t>
      </w:r>
      <w:r w:rsidRPr="00513876" w:rsidR="00513876">
        <w:rPr>
          <w:sz w:val="22"/>
          <w:szCs w:val="22"/>
        </w:rPr>
        <w:t>Se relacionan con fallas en la ejecución de procesos, sistemas y actividades institucionales. Incluyen deficiencias en controles internos, errores técnicos, problemas en la gestión de la información y debilidades en la implementación, lo que impacta directamente el desempeño y los resultados organizacionales (COSO, 2017; Kaplan &amp; Norton, 2008; Power, 2007).</w:t>
      </w:r>
    </w:p>
    <w:p w:rsidR="2D9CBEAB" w:rsidP="00C17724" w:rsidRDefault="2D9CBEAB" w14:paraId="38D6FF09" w14:textId="7EC9982A">
      <w:pPr>
        <w:spacing w:line="276" w:lineRule="auto"/>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En el contexto de la administración pública, la tipología se amplía incorporando categorías establecidas en marcos institucionales como el DAFP (2018), lo que permite una comprensión más integral del riesgo:</w:t>
      </w:r>
    </w:p>
    <w:p w:rsidRPr="00F90903" w:rsidR="00EA0621" w:rsidP="00EA0621" w:rsidRDefault="006A74C9" w14:paraId="3A8887A4" w14:textId="39B8BFBC">
      <w:pPr>
        <w:spacing w:line="276" w:lineRule="auto"/>
        <w:jc w:val="center"/>
        <w:rPr>
          <w:i/>
          <w:iCs/>
          <w:sz w:val="20"/>
          <w:szCs w:val="20"/>
        </w:rPr>
      </w:pPr>
      <w:r w:rsidRPr="00B074F6">
        <w:rPr>
          <w:rFonts w:ascii="Aptos" w:hAnsi="Aptos" w:eastAsia="Aptos" w:cs="Aptos"/>
          <w:noProof/>
          <w:color w:val="000000" w:themeColor="text1"/>
          <w:sz w:val="22"/>
          <w:szCs w:val="22"/>
        </w:rPr>
        <w:drawing>
          <wp:anchor distT="0" distB="0" distL="114300" distR="114300" simplePos="0" relativeHeight="251658240" behindDoc="0" locked="0" layoutInCell="1" allowOverlap="1" wp14:anchorId="4904F79F" wp14:editId="1F16DB45">
            <wp:simplePos x="0" y="0"/>
            <wp:positionH relativeFrom="column">
              <wp:posOffset>642830</wp:posOffset>
            </wp:positionH>
            <wp:positionV relativeFrom="paragraph">
              <wp:posOffset>232688</wp:posOffset>
            </wp:positionV>
            <wp:extent cx="4429290" cy="3645022"/>
            <wp:effectExtent l="0" t="0" r="9525" b="0"/>
            <wp:wrapNone/>
            <wp:docPr id="16195823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82366" name=""/>
                    <pic:cNvPicPr/>
                  </pic:nvPicPr>
                  <pic:blipFill>
                    <a:blip r:embed="rId17">
                      <a:extLst>
                        <a:ext uri="{28A0092B-C50C-407E-A947-70E740481C1C}">
                          <a14:useLocalDpi xmlns:a14="http://schemas.microsoft.com/office/drawing/2010/main" val="0"/>
                        </a:ext>
                      </a:extLst>
                    </a:blip>
                    <a:stretch>
                      <a:fillRect/>
                    </a:stretch>
                  </pic:blipFill>
                  <pic:spPr>
                    <a:xfrm>
                      <a:off x="0" y="0"/>
                      <a:ext cx="4429290" cy="3645022"/>
                    </a:xfrm>
                    <a:prstGeom prst="rect">
                      <a:avLst/>
                    </a:prstGeom>
                  </pic:spPr>
                </pic:pic>
              </a:graphicData>
            </a:graphic>
            <wp14:sizeRelH relativeFrom="margin">
              <wp14:pctWidth>0</wp14:pctWidth>
            </wp14:sizeRelH>
            <wp14:sizeRelV relativeFrom="margin">
              <wp14:pctHeight>0</wp14:pctHeight>
            </wp14:sizeRelV>
          </wp:anchor>
        </w:drawing>
      </w:r>
      <w:r w:rsidRPr="00F90903" w:rsidR="00EA0621">
        <w:rPr>
          <w:b/>
          <w:bCs/>
          <w:i/>
          <w:iCs/>
          <w:sz w:val="20"/>
          <w:szCs w:val="20"/>
        </w:rPr>
        <w:t xml:space="preserve">Ilustración </w:t>
      </w:r>
      <w:r w:rsidR="00EA0621">
        <w:rPr>
          <w:b/>
          <w:bCs/>
          <w:i/>
          <w:iCs/>
          <w:sz w:val="20"/>
          <w:szCs w:val="20"/>
        </w:rPr>
        <w:t>3</w:t>
      </w:r>
      <w:r w:rsidRPr="00F90903" w:rsidR="00EA0621">
        <w:rPr>
          <w:i/>
          <w:iCs/>
          <w:sz w:val="20"/>
          <w:szCs w:val="20"/>
        </w:rPr>
        <w:t xml:space="preserve">. </w:t>
      </w:r>
      <w:r w:rsidR="00EA0621">
        <w:rPr>
          <w:i/>
          <w:iCs/>
          <w:sz w:val="20"/>
          <w:szCs w:val="20"/>
        </w:rPr>
        <w:t>Tipos de riesgos según el DAFP.</w:t>
      </w:r>
    </w:p>
    <w:p w:rsidRPr="00C17724" w:rsidR="00EA0621" w:rsidP="00C17724" w:rsidRDefault="00EA0621" w14:paraId="58C9698F" w14:textId="3017337B">
      <w:pPr>
        <w:spacing w:line="276" w:lineRule="auto"/>
        <w:jc w:val="both"/>
        <w:rPr>
          <w:i/>
          <w:iCs/>
          <w:sz w:val="22"/>
          <w:szCs w:val="22"/>
        </w:rPr>
      </w:pPr>
    </w:p>
    <w:p w:rsidR="007F43BA" w:rsidP="00944DA3" w:rsidRDefault="007F43BA" w14:paraId="53D4AC49" w14:textId="3EC5EFEF">
      <w:pPr>
        <w:spacing w:before="240" w:after="240"/>
        <w:jc w:val="both"/>
        <w:rPr>
          <w:rFonts w:ascii="Aptos" w:hAnsi="Aptos" w:eastAsia="Aptos" w:cs="Aptos"/>
          <w:color w:val="000000" w:themeColor="text1"/>
          <w:sz w:val="22"/>
          <w:szCs w:val="22"/>
        </w:rPr>
      </w:pPr>
    </w:p>
    <w:p w:rsidR="007F43BA" w:rsidP="00944DA3" w:rsidRDefault="007F43BA" w14:paraId="24084537" w14:textId="77777777">
      <w:pPr>
        <w:spacing w:before="240" w:after="240"/>
        <w:jc w:val="both"/>
        <w:rPr>
          <w:rFonts w:ascii="Aptos" w:hAnsi="Aptos" w:eastAsia="Aptos" w:cs="Aptos"/>
          <w:color w:val="000000" w:themeColor="text1"/>
          <w:sz w:val="22"/>
          <w:szCs w:val="22"/>
        </w:rPr>
      </w:pPr>
    </w:p>
    <w:p w:rsidR="007F43BA" w:rsidP="00944DA3" w:rsidRDefault="007F43BA" w14:paraId="7255E17A" w14:textId="77777777">
      <w:pPr>
        <w:spacing w:before="240" w:after="240"/>
        <w:jc w:val="both"/>
        <w:rPr>
          <w:rFonts w:ascii="Aptos" w:hAnsi="Aptos" w:eastAsia="Aptos" w:cs="Aptos"/>
          <w:color w:val="000000" w:themeColor="text1"/>
          <w:sz w:val="22"/>
          <w:szCs w:val="22"/>
        </w:rPr>
      </w:pPr>
    </w:p>
    <w:p w:rsidR="007F43BA" w:rsidP="00944DA3" w:rsidRDefault="007F43BA" w14:paraId="250C3F30" w14:textId="77777777">
      <w:pPr>
        <w:spacing w:before="240" w:after="240"/>
        <w:jc w:val="both"/>
        <w:rPr>
          <w:rFonts w:ascii="Aptos" w:hAnsi="Aptos" w:eastAsia="Aptos" w:cs="Aptos"/>
          <w:color w:val="000000" w:themeColor="text1"/>
          <w:sz w:val="22"/>
          <w:szCs w:val="22"/>
        </w:rPr>
      </w:pPr>
    </w:p>
    <w:p w:rsidR="007F43BA" w:rsidP="00944DA3" w:rsidRDefault="007F43BA" w14:paraId="0AEBA4F2" w14:textId="77777777">
      <w:pPr>
        <w:spacing w:before="240" w:after="240"/>
        <w:jc w:val="both"/>
        <w:rPr>
          <w:rFonts w:ascii="Aptos" w:hAnsi="Aptos" w:eastAsia="Aptos" w:cs="Aptos"/>
          <w:color w:val="000000" w:themeColor="text1"/>
          <w:sz w:val="22"/>
          <w:szCs w:val="22"/>
        </w:rPr>
      </w:pPr>
    </w:p>
    <w:p w:rsidR="007F43BA" w:rsidP="00944DA3" w:rsidRDefault="007F43BA" w14:paraId="2884A30B" w14:textId="77777777">
      <w:pPr>
        <w:spacing w:before="240" w:after="240"/>
        <w:jc w:val="both"/>
        <w:rPr>
          <w:rFonts w:ascii="Aptos" w:hAnsi="Aptos" w:eastAsia="Aptos" w:cs="Aptos"/>
          <w:color w:val="000000" w:themeColor="text1"/>
          <w:sz w:val="22"/>
          <w:szCs w:val="22"/>
        </w:rPr>
      </w:pPr>
    </w:p>
    <w:p w:rsidR="007F43BA" w:rsidP="00944DA3" w:rsidRDefault="007F43BA" w14:paraId="6E25342A" w14:textId="77777777">
      <w:pPr>
        <w:spacing w:before="240" w:after="240"/>
        <w:jc w:val="both"/>
        <w:rPr>
          <w:rFonts w:ascii="Aptos" w:hAnsi="Aptos" w:eastAsia="Aptos" w:cs="Aptos"/>
          <w:color w:val="000000" w:themeColor="text1"/>
          <w:sz w:val="22"/>
          <w:szCs w:val="22"/>
        </w:rPr>
      </w:pPr>
    </w:p>
    <w:p w:rsidR="007F43BA" w:rsidP="00944DA3" w:rsidRDefault="007F43BA" w14:paraId="0A5B9062" w14:textId="77777777">
      <w:pPr>
        <w:spacing w:before="240" w:after="240"/>
        <w:jc w:val="both"/>
        <w:rPr>
          <w:rFonts w:ascii="Aptos" w:hAnsi="Aptos" w:eastAsia="Aptos" w:cs="Aptos"/>
          <w:color w:val="000000" w:themeColor="text1"/>
          <w:sz w:val="22"/>
          <w:szCs w:val="22"/>
        </w:rPr>
      </w:pPr>
    </w:p>
    <w:p w:rsidR="007F43BA" w:rsidP="00944DA3" w:rsidRDefault="007F43BA" w14:paraId="2F957BB0" w14:textId="77777777">
      <w:pPr>
        <w:spacing w:before="240" w:after="240"/>
        <w:jc w:val="both"/>
        <w:rPr>
          <w:rFonts w:ascii="Aptos" w:hAnsi="Aptos" w:eastAsia="Aptos" w:cs="Aptos"/>
          <w:color w:val="000000" w:themeColor="text1"/>
          <w:sz w:val="22"/>
          <w:szCs w:val="22"/>
        </w:rPr>
      </w:pPr>
    </w:p>
    <w:p w:rsidR="007F43BA" w:rsidP="00944DA3" w:rsidRDefault="007F43BA" w14:paraId="48A824FB" w14:textId="77777777">
      <w:pPr>
        <w:spacing w:before="240" w:after="240"/>
        <w:jc w:val="both"/>
        <w:rPr>
          <w:rFonts w:ascii="Aptos" w:hAnsi="Aptos" w:eastAsia="Aptos" w:cs="Aptos"/>
          <w:color w:val="000000" w:themeColor="text1"/>
          <w:sz w:val="22"/>
          <w:szCs w:val="22"/>
        </w:rPr>
      </w:pPr>
    </w:p>
    <w:p w:rsidR="006A74C9" w:rsidP="006A74C9" w:rsidRDefault="006A74C9" w14:paraId="094560E1" w14:textId="77777777">
      <w:pPr>
        <w:spacing w:line="276" w:lineRule="auto"/>
        <w:jc w:val="center"/>
        <w:rPr>
          <w:i/>
          <w:iCs/>
          <w:sz w:val="22"/>
          <w:szCs w:val="22"/>
        </w:rPr>
      </w:pPr>
      <w:r w:rsidRPr="00F90903">
        <w:rPr>
          <w:i/>
          <w:iCs/>
          <w:sz w:val="20"/>
          <w:szCs w:val="20"/>
        </w:rPr>
        <w:t>Fuente: Elaboración propia.</w:t>
      </w:r>
    </w:p>
    <w:p w:rsidR="29E4502C" w:rsidP="00944DA3" w:rsidRDefault="2D9CBEAB" w14:paraId="54362B87" w14:textId="32CB7780">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Esta ampliación permite articular los enfoques teóricos del riesgo organizacional con las necesidades operativas del Estado, configurando un marco aplicable a la gestión pública.</w:t>
      </w:r>
      <w:r w:rsidR="00D74AE9">
        <w:rPr>
          <w:rFonts w:ascii="Aptos" w:hAnsi="Aptos" w:eastAsia="Aptos" w:cs="Aptos"/>
          <w:color w:val="000000" w:themeColor="text1"/>
          <w:sz w:val="22"/>
          <w:szCs w:val="22"/>
        </w:rPr>
        <w:t xml:space="preserve"> </w:t>
      </w:r>
      <w:r w:rsidRPr="704E30C7" w:rsidR="29E4502C">
        <w:rPr>
          <w:rFonts w:ascii="Aptos" w:hAnsi="Aptos" w:eastAsia="Aptos" w:cs="Aptos"/>
          <w:color w:val="000000" w:themeColor="text1"/>
          <w:sz w:val="22"/>
          <w:szCs w:val="22"/>
        </w:rPr>
        <w:t xml:space="preserve">La </w:t>
      </w:r>
      <w:r w:rsidRPr="704E30C7" w:rsidR="29E4502C">
        <w:rPr>
          <w:rFonts w:ascii="Aptos" w:hAnsi="Aptos" w:eastAsia="Aptos" w:cs="Aptos"/>
          <w:color w:val="000000" w:themeColor="text1"/>
          <w:sz w:val="22"/>
          <w:szCs w:val="22"/>
        </w:rPr>
        <w:lastRenderedPageBreak/>
        <w:t>integración entre patrones organizacionales y tipología del riesgo permite avanzar hacia un enfoque preventivo en la gestión pública. La evidencia analizada demuestra que los fallos institucionales no son impredecibles, sino el resultado de la acumulación de vulnerabilidades que pueden ser identificadas y gestionadas oportunamente.</w:t>
      </w:r>
      <w:r w:rsidR="00B5446A">
        <w:rPr>
          <w:rFonts w:ascii="Aptos" w:hAnsi="Aptos" w:eastAsia="Aptos" w:cs="Aptos"/>
          <w:color w:val="000000" w:themeColor="text1"/>
          <w:sz w:val="22"/>
          <w:szCs w:val="22"/>
        </w:rPr>
        <w:t xml:space="preserve"> </w:t>
      </w:r>
      <w:r w:rsidRPr="704E30C7" w:rsidR="29E4502C">
        <w:rPr>
          <w:rFonts w:ascii="Aptos" w:hAnsi="Aptos" w:eastAsia="Aptos" w:cs="Aptos"/>
          <w:color w:val="000000" w:themeColor="text1"/>
          <w:sz w:val="22"/>
          <w:szCs w:val="22"/>
        </w:rPr>
        <w:t>En este sentido, la gestión del riesgo en el ámbito público debe orientarse hacia:</w:t>
      </w:r>
    </w:p>
    <w:p w:rsidR="29E4502C" w:rsidP="00944DA3" w:rsidRDefault="29E4502C" w14:paraId="1C8976AC" w14:textId="6598DB86">
      <w:pPr>
        <w:pStyle w:val="Prrafodelista"/>
        <w:numPr>
          <w:ilvl w:val="0"/>
          <w:numId w:val="1"/>
        </w:num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 identificación temprana de fallas latentes en los sistemas institucionales</w:t>
      </w:r>
    </w:p>
    <w:p w:rsidR="29E4502C" w:rsidP="00944DA3" w:rsidRDefault="29E4502C" w14:paraId="5258B8E9" w14:textId="62366BC8">
      <w:pPr>
        <w:pStyle w:val="Prrafodelista"/>
        <w:numPr>
          <w:ilvl w:val="0"/>
          <w:numId w:val="1"/>
        </w:num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 incorporación efectiva del conocimiento técnico en la toma de decisiones</w:t>
      </w:r>
    </w:p>
    <w:p w:rsidR="29E4502C" w:rsidP="00944DA3" w:rsidRDefault="29E4502C" w14:paraId="38504CD4" w14:textId="211475CF">
      <w:pPr>
        <w:pStyle w:val="Prrafodelista"/>
        <w:numPr>
          <w:ilvl w:val="0"/>
          <w:numId w:val="1"/>
        </w:num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El fortalecimiento de la independencia y capacidad técnica de los organismos reguladores</w:t>
      </w:r>
    </w:p>
    <w:p w:rsidR="29E4502C" w:rsidP="00944DA3" w:rsidRDefault="29E4502C" w14:paraId="00B7A2B7" w14:textId="17DB1B01">
      <w:pPr>
        <w:pStyle w:val="Prrafodelista"/>
        <w:numPr>
          <w:ilvl w:val="0"/>
          <w:numId w:val="1"/>
        </w:num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 implementación de sistemas de monitoreo y alerta temprana</w:t>
      </w:r>
    </w:p>
    <w:p w:rsidR="29E4502C" w:rsidP="00944DA3" w:rsidRDefault="29E4502C" w14:paraId="249125A1" w14:textId="31EA6F9C">
      <w:pPr>
        <w:pStyle w:val="Prrafodelista"/>
        <w:numPr>
          <w:ilvl w:val="0"/>
          <w:numId w:val="1"/>
        </w:num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 promoción de culturas organizacionales orientadas a la transparencia y el aprendizaje</w:t>
      </w:r>
    </w:p>
    <w:p w:rsidR="23C1C9B7" w:rsidP="00944DA3" w:rsidRDefault="23C1C9B7" w14:paraId="22A17856" w14:textId="2A0E20D8">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La evidencia comparada permite concluir que los patrones organizacionales y la tipología del riesgo no constituyen dimensiones separadas, sino componentes interdependientes de un mismo fenómeno: la producción institucional del riesgo. En el ámbito de la política pública, esta relación resulta crítica, ya que los fallos organizacionales pueden traducirse en pérdidas económicas, impactos sociales y deterioro de la confianza ciudadana.</w:t>
      </w:r>
    </w:p>
    <w:p w:rsidRPr="00D74AE9" w:rsidR="00647B7F" w:rsidP="00D74AE9" w:rsidRDefault="23C1C9B7" w14:paraId="703D090E" w14:textId="09E7E16C">
      <w:pPr>
        <w:spacing w:before="240" w:after="240"/>
        <w:jc w:val="both"/>
        <w:rPr>
          <w:rFonts w:ascii="Aptos" w:hAnsi="Aptos" w:eastAsia="Aptos" w:cs="Aptos"/>
          <w:color w:val="000000" w:themeColor="text1"/>
          <w:sz w:val="22"/>
          <w:szCs w:val="22"/>
        </w:rPr>
      </w:pPr>
      <w:r w:rsidRPr="704E30C7">
        <w:rPr>
          <w:rFonts w:ascii="Aptos" w:hAnsi="Aptos" w:eastAsia="Aptos" w:cs="Aptos"/>
          <w:color w:val="000000" w:themeColor="text1"/>
          <w:sz w:val="22"/>
          <w:szCs w:val="22"/>
        </w:rPr>
        <w:t>En el contexto colombiano, la incorporación de este enfoque integral en el diseño y ejecución de políticas públicas permitiría fortalecer la capacidad del Estado para anticipar y gestionar riesgos complejos. Más allá de la adopción de herramientas técnicas, el desafío radica en transformar las dinámicas organizacionales que permiten la acumulación de fallas, consolidando una gestión pública orientada a la prevención, la resiliencia y la sostenibilidad institucional.</w:t>
      </w:r>
    </w:p>
    <w:p w:rsidRPr="00836DD1" w:rsidR="00647B7F" w:rsidP="00C677C8" w:rsidRDefault="00D60E7B" w14:paraId="1173EA4F" w14:textId="423E52BD">
      <w:pPr>
        <w:pStyle w:val="Ttulo1"/>
        <w:numPr>
          <w:ilvl w:val="0"/>
          <w:numId w:val="32"/>
        </w:numPr>
        <w:jc w:val="center"/>
        <w:rPr>
          <w:b/>
          <w:bCs/>
          <w:color w:val="auto"/>
          <w:sz w:val="24"/>
          <w:szCs w:val="24"/>
        </w:rPr>
      </w:pPr>
      <w:bookmarkStart w:name="_Toc225160621" w:id="26"/>
      <w:r w:rsidRPr="00836DD1">
        <w:rPr>
          <w:b/>
          <w:bCs/>
          <w:color w:val="auto"/>
          <w:sz w:val="24"/>
          <w:szCs w:val="24"/>
        </w:rPr>
        <w:t xml:space="preserve">METODOLOGÍAS DE </w:t>
      </w:r>
      <w:r w:rsidRPr="00836DD1" w:rsidR="0024086F">
        <w:rPr>
          <w:b/>
          <w:bCs/>
          <w:color w:val="auto"/>
          <w:sz w:val="24"/>
          <w:szCs w:val="24"/>
        </w:rPr>
        <w:t>RIESGOS EN POLÍTICA PÚBLICA</w:t>
      </w:r>
      <w:bookmarkEnd w:id="26"/>
      <w:r w:rsidR="009B0632">
        <w:rPr>
          <w:b/>
          <w:bCs/>
          <w:color w:val="auto"/>
          <w:sz w:val="24"/>
          <w:szCs w:val="24"/>
        </w:rPr>
        <w:t xml:space="preserve"> </w:t>
      </w:r>
    </w:p>
    <w:p w:rsidRPr="008D2E60" w:rsidR="008D2E60" w:rsidP="7B1A49E9" w:rsidRDefault="008D2E60" w14:paraId="05575A5D" w14:textId="62437474">
      <w:pPr>
        <w:spacing w:after="0"/>
        <w:jc w:val="both"/>
        <w:rPr>
          <w:rFonts w:ascii="Arial" w:hAnsi="Arial" w:eastAsia="Arial" w:cs="Arial"/>
        </w:rPr>
      </w:pPr>
    </w:p>
    <w:p w:rsidRPr="00944DA3" w:rsidR="2D332964" w:rsidP="00944DA3" w:rsidRDefault="2D332964" w14:paraId="3E21865C" w14:textId="749CF772">
      <w:pPr>
        <w:spacing w:after="0"/>
        <w:jc w:val="both"/>
        <w:rPr>
          <w:rFonts w:eastAsiaTheme="minorEastAsia"/>
          <w:sz w:val="22"/>
          <w:szCs w:val="22"/>
        </w:rPr>
      </w:pPr>
      <w:r w:rsidRPr="00944DA3">
        <w:rPr>
          <w:rFonts w:eastAsiaTheme="minorEastAsia"/>
          <w:sz w:val="22"/>
          <w:szCs w:val="22"/>
        </w:rPr>
        <w:t xml:space="preserve">Las metodologías para el control de riesgo en políticas públicas en Colombia son procesos sistemáticos, basados principalmente en el </w:t>
      </w:r>
      <w:hyperlink w:history="1" r:id="rId18">
        <w:r w:rsidRPr="00D74AE9">
          <w:rPr>
            <w:rStyle w:val="Hipervnculo"/>
            <w:rFonts w:eastAsiaTheme="minorEastAsia"/>
            <w:color w:val="auto"/>
            <w:sz w:val="22"/>
            <w:szCs w:val="22"/>
            <w:u w:val="none"/>
          </w:rPr>
          <w:t>MIPG (Modelo Integrado de Planeación y Gestión)</w:t>
        </w:r>
      </w:hyperlink>
      <w:r w:rsidRPr="00D74AE9">
        <w:rPr>
          <w:rFonts w:eastAsiaTheme="minorEastAsia"/>
          <w:sz w:val="22"/>
          <w:szCs w:val="22"/>
        </w:rPr>
        <w:t xml:space="preserve">, </w:t>
      </w:r>
      <w:r w:rsidRPr="00944DA3">
        <w:rPr>
          <w:rFonts w:eastAsiaTheme="minorEastAsia"/>
          <w:sz w:val="22"/>
          <w:szCs w:val="22"/>
        </w:rPr>
        <w:t xml:space="preserve">que permiten identificar, evaluar, mitigar amenazas y tratar eventos internos o externos que puedan afectar los objetivos. Incluyen la identificación de riesgos de gestión, corrupción y seguridad digital, usando matrices de riesgo y estrategias sobre cómo evitar, mitigar o transferir riesgos, asegurando el cumplimiento de objetivos estratégicos, el uso eficiente de recursos y la transparencia. Permiten anticipar obstáculos, proteger la reputación institucional y fortalecer la gestión fiscal y la toma de decisiones. Se vinculan mediante el Modelo Estándar de Control Interno (MECI) y la Guía de Gestión del Riesgo de Corrupción (Función Pública). </w:t>
      </w:r>
    </w:p>
    <w:p w:rsidRPr="00944DA3" w:rsidR="2D332964" w:rsidP="00944DA3" w:rsidRDefault="2D332964" w14:paraId="45A7A04A" w14:textId="4C56B1E5">
      <w:pPr>
        <w:spacing w:after="0"/>
        <w:jc w:val="both"/>
        <w:rPr>
          <w:rFonts w:eastAsiaTheme="minorEastAsia"/>
          <w:sz w:val="22"/>
          <w:szCs w:val="22"/>
        </w:rPr>
      </w:pPr>
      <w:r w:rsidRPr="00944DA3">
        <w:rPr>
          <w:rFonts w:eastAsiaTheme="minorEastAsia"/>
          <w:sz w:val="22"/>
          <w:szCs w:val="22"/>
        </w:rPr>
        <w:t xml:space="preserve"> </w:t>
      </w:r>
    </w:p>
    <w:p w:rsidRPr="00944DA3" w:rsidR="2D332964" w:rsidP="00944DA3" w:rsidRDefault="2D332964" w14:paraId="5A93D818" w14:textId="0C5F5812">
      <w:pPr>
        <w:spacing w:after="0"/>
        <w:jc w:val="both"/>
        <w:rPr>
          <w:rFonts w:eastAsiaTheme="minorEastAsia"/>
          <w:sz w:val="22"/>
          <w:szCs w:val="22"/>
        </w:rPr>
      </w:pPr>
      <w:r w:rsidRPr="00944DA3">
        <w:rPr>
          <w:rFonts w:eastAsiaTheme="minorEastAsia"/>
          <w:sz w:val="22"/>
          <w:szCs w:val="22"/>
        </w:rPr>
        <w:t xml:space="preserve">Para el estado colombiano en la implementación de un enfoque basado en resultados de los programas de la política pública, la gestión de riesgos se consolida como una herramienta fundamental para fortalecer la toma de decisiones públicas, la transparencia, la eficacia institucional y la confianza ciudadana. Más allá de su función preventiva, la gestión de riesgos </w:t>
      </w:r>
      <w:r w:rsidRPr="00944DA3">
        <w:rPr>
          <w:rFonts w:eastAsiaTheme="minorEastAsia"/>
          <w:sz w:val="22"/>
          <w:szCs w:val="22"/>
        </w:rPr>
        <w:lastRenderedPageBreak/>
        <w:t xml:space="preserve">permite anticipar escenarios adversos, gestionar oportunidades y alinear la operación institucional con los objetivos estratégicos del Estado. El gobierno de Colombia ha adoptado una cultura de gestión de riesgos que permita garantizar la articulación institucional, la integridad de las políticas públicas y la protección de los recursos públicos frente a incertidumbres, presiones sociales, tecnológicas o fiscales, </w:t>
      </w:r>
      <w:proofErr w:type="gramStart"/>
      <w:r w:rsidRPr="00944DA3">
        <w:rPr>
          <w:rFonts w:eastAsiaTheme="minorEastAsia"/>
          <w:sz w:val="22"/>
          <w:szCs w:val="22"/>
        </w:rPr>
        <w:t>de acuerdo a</w:t>
      </w:r>
      <w:proofErr w:type="gramEnd"/>
      <w:r w:rsidRPr="00944DA3">
        <w:rPr>
          <w:rFonts w:eastAsiaTheme="minorEastAsia"/>
          <w:sz w:val="22"/>
          <w:szCs w:val="22"/>
        </w:rPr>
        <w:t xml:space="preserve"> las recomendaciones de La Organización para la Cooperación y el Desarrollo Económicos (OCDE). En este sentido, se reconoce que los riesgos no solo deben gestionarse a nivel operativo, sino que requieren de un compromiso institucional desde el más alto nivel directivo.</w:t>
      </w:r>
    </w:p>
    <w:p w:rsidRPr="00944DA3" w:rsidR="2D332964" w:rsidP="00944DA3" w:rsidRDefault="2D332964" w14:paraId="7B4B9052" w14:textId="1616E6EA">
      <w:pPr>
        <w:spacing w:after="0"/>
        <w:jc w:val="both"/>
        <w:rPr>
          <w:rFonts w:eastAsiaTheme="minorEastAsia"/>
          <w:sz w:val="22"/>
          <w:szCs w:val="22"/>
        </w:rPr>
      </w:pPr>
      <w:r w:rsidRPr="00944DA3">
        <w:rPr>
          <w:rFonts w:eastAsiaTheme="minorEastAsia"/>
          <w:sz w:val="22"/>
          <w:szCs w:val="22"/>
        </w:rPr>
        <w:t xml:space="preserve"> </w:t>
      </w:r>
    </w:p>
    <w:p w:rsidRPr="00944DA3" w:rsidR="2D332964" w:rsidP="00944DA3" w:rsidRDefault="2D332964" w14:paraId="0A65C6AA" w14:textId="3A9C9BD7">
      <w:pPr>
        <w:spacing w:after="0"/>
        <w:jc w:val="both"/>
        <w:rPr>
          <w:rFonts w:eastAsiaTheme="minorEastAsia"/>
          <w:sz w:val="22"/>
          <w:szCs w:val="22"/>
        </w:rPr>
      </w:pPr>
      <w:r w:rsidRPr="00944DA3">
        <w:rPr>
          <w:rFonts w:eastAsiaTheme="minorEastAsia"/>
          <w:sz w:val="22"/>
          <w:szCs w:val="22"/>
        </w:rPr>
        <w:t xml:space="preserve">En Colombia, el Modelo Integrado de Planeación y Gestión (MIPG) y el Modelo Estándar de Control Interno (MECI), ambos adoptados mediante el Decreto 1499 de 2017 y el Decreto 1083 de 2015 (modificado), establecen que la gestión de riesgos es un componente transversal de los sistemas de gestión pública. El dominio de control del MECI enfatiza la importancia del “Ambiente de Control”, el cual representa la base para la implementación efectiva del control interno, incluyendo la prevención del fraude, la corrupción y otras prácticas indebidas. </w:t>
      </w:r>
    </w:p>
    <w:p w:rsidRPr="00944DA3" w:rsidR="2D332964" w:rsidP="00944DA3" w:rsidRDefault="2D332964" w14:paraId="69F6CF47" w14:textId="345BDCB0">
      <w:pPr>
        <w:spacing w:after="0"/>
        <w:jc w:val="both"/>
        <w:rPr>
          <w:rFonts w:eastAsiaTheme="minorEastAsia"/>
          <w:sz w:val="22"/>
          <w:szCs w:val="22"/>
        </w:rPr>
      </w:pPr>
      <w:r w:rsidRPr="00944DA3">
        <w:rPr>
          <w:rFonts w:eastAsiaTheme="minorEastAsia"/>
          <w:sz w:val="22"/>
          <w:szCs w:val="22"/>
        </w:rPr>
        <w:t xml:space="preserve"> </w:t>
      </w:r>
    </w:p>
    <w:p w:rsidRPr="00944DA3" w:rsidR="2D332964" w:rsidP="00944DA3" w:rsidRDefault="2D332964" w14:paraId="50FC02E5" w14:textId="055E00CB">
      <w:pPr>
        <w:spacing w:after="0"/>
        <w:jc w:val="both"/>
        <w:rPr>
          <w:rFonts w:eastAsiaTheme="minorEastAsia"/>
          <w:sz w:val="22"/>
          <w:szCs w:val="22"/>
        </w:rPr>
      </w:pPr>
      <w:r w:rsidRPr="00944DA3">
        <w:rPr>
          <w:rFonts w:eastAsiaTheme="minorEastAsia"/>
          <w:sz w:val="22"/>
          <w:szCs w:val="22"/>
        </w:rPr>
        <w:t xml:space="preserve">En Colombia la metodología de gestión de riesgos en programas de políticas </w:t>
      </w:r>
      <w:r w:rsidRPr="00944DA3" w:rsidR="08A12425">
        <w:rPr>
          <w:rFonts w:eastAsiaTheme="minorEastAsia"/>
          <w:sz w:val="22"/>
          <w:szCs w:val="22"/>
        </w:rPr>
        <w:t>públicas</w:t>
      </w:r>
      <w:r w:rsidRPr="00944DA3">
        <w:rPr>
          <w:rFonts w:eastAsiaTheme="minorEastAsia"/>
          <w:sz w:val="22"/>
          <w:szCs w:val="22"/>
        </w:rPr>
        <w:t xml:space="preserve"> es liderada por </w:t>
      </w:r>
      <w:hyperlink w:history="1" r:id="rId19">
        <w:r w:rsidRPr="00D74AE9">
          <w:rPr>
            <w:sz w:val="22"/>
            <w:szCs w:val="22"/>
          </w:rPr>
          <w:t>Función Pública</w:t>
        </w:r>
      </w:hyperlink>
      <w:r w:rsidRPr="00D74AE9">
        <w:rPr>
          <w:rFonts w:eastAsiaTheme="minorEastAsia"/>
          <w:sz w:val="20"/>
          <w:szCs w:val="20"/>
        </w:rPr>
        <w:t xml:space="preserve">, </w:t>
      </w:r>
      <w:r w:rsidRPr="00944DA3">
        <w:rPr>
          <w:rFonts w:eastAsiaTheme="minorEastAsia"/>
          <w:sz w:val="22"/>
          <w:szCs w:val="22"/>
        </w:rPr>
        <w:t xml:space="preserve">sigue un proceso estructurado para prevenir la materialización de eventos negativos. Se basa en 4 pasos esenciales: identificación, valoración, tratamiento y monitoreo del riesgo, integrando riesgos de corrupción, cumplimiento, financieros y tecnológicos. La información de la gestión de riesgos se encuentra en la cartilla “Guía Administración del Riesgo” de Función Pública, obedece a la armonización entre el Modelo Estándar de Control Interno (MECI) y la Norma Técnica de Calidad NTCGP1000:2009, se sugiere adoptar la metodología planteada por la Dirección de Control Interno y Racionalización de Trámites del Departamento Administrativo de la Función Pública, con el fin de facilitarle a las entidades el ejercicio de la administración del riesgo. Cabe anotar que el ICONTEC a través de la norma NTC-ISO 31000 actualizó la norma NTC5254 base para el documento original. La </w:t>
      </w:r>
      <w:r w:rsidRPr="00944DA3" w:rsidR="00D74AE9">
        <w:rPr>
          <w:rFonts w:eastAsiaTheme="minorEastAsia"/>
          <w:sz w:val="22"/>
          <w:szCs w:val="22"/>
        </w:rPr>
        <w:t>última</w:t>
      </w:r>
      <w:r w:rsidRPr="00944DA3">
        <w:rPr>
          <w:rFonts w:eastAsiaTheme="minorEastAsia"/>
          <w:sz w:val="22"/>
          <w:szCs w:val="22"/>
        </w:rPr>
        <w:t xml:space="preserve"> actualización de la cartilla es la versión 7 en septiembre 2025 del </w:t>
      </w:r>
      <w:hyperlink w:history="1" r:id="rId20">
        <w:r w:rsidRPr="00D74AE9">
          <w:rPr>
            <w:sz w:val="22"/>
            <w:szCs w:val="22"/>
          </w:rPr>
          <w:t>departamento</w:t>
        </w:r>
      </w:hyperlink>
      <w:r w:rsidRPr="00D74AE9">
        <w:rPr>
          <w:sz w:val="20"/>
          <w:szCs w:val="20"/>
        </w:rPr>
        <w:t xml:space="preserve"> a</w:t>
      </w:r>
      <w:r w:rsidRPr="00944DA3">
        <w:rPr>
          <w:rFonts w:eastAsiaTheme="minorEastAsia"/>
          <w:sz w:val="22"/>
          <w:szCs w:val="22"/>
        </w:rPr>
        <w:t>dministrativo de Función Pública, refuerza el enfoque integral de riesgos en entidades públicas colombianas, adopta una visión estratégica, preventiva y transversal, enfocándose en 4 tipologías: generales, preventivos fiscales, seguridad de la información e integridad.</w:t>
      </w:r>
    </w:p>
    <w:p w:rsidRPr="00944DA3" w:rsidR="2D332964" w:rsidP="00944DA3" w:rsidRDefault="2D332964" w14:paraId="11BD257F" w14:textId="32636971">
      <w:pPr>
        <w:spacing w:after="0"/>
        <w:jc w:val="both"/>
        <w:rPr>
          <w:rFonts w:eastAsiaTheme="minorEastAsia"/>
          <w:sz w:val="22"/>
          <w:szCs w:val="22"/>
        </w:rPr>
      </w:pPr>
      <w:r w:rsidRPr="00944DA3">
        <w:rPr>
          <w:rFonts w:eastAsiaTheme="minorEastAsia"/>
          <w:sz w:val="22"/>
          <w:szCs w:val="22"/>
        </w:rPr>
        <w:t xml:space="preserve"> </w:t>
      </w:r>
    </w:p>
    <w:p w:rsidRPr="00944DA3" w:rsidR="2D332964" w:rsidP="00944DA3" w:rsidRDefault="2D332964" w14:paraId="572939AD" w14:textId="11616054">
      <w:pPr>
        <w:spacing w:after="0"/>
        <w:jc w:val="both"/>
        <w:rPr>
          <w:rFonts w:eastAsiaTheme="minorEastAsia"/>
          <w:sz w:val="22"/>
          <w:szCs w:val="22"/>
        </w:rPr>
      </w:pPr>
      <w:r w:rsidRPr="00944DA3">
        <w:rPr>
          <w:rFonts w:eastAsiaTheme="minorEastAsia"/>
          <w:sz w:val="22"/>
          <w:szCs w:val="22"/>
        </w:rPr>
        <w:t>Desde Control Interno, el modelo COSO (</w:t>
      </w:r>
      <w:proofErr w:type="spellStart"/>
      <w:r w:rsidRPr="00944DA3">
        <w:rPr>
          <w:rFonts w:eastAsiaTheme="minorEastAsia"/>
          <w:sz w:val="22"/>
          <w:szCs w:val="22"/>
        </w:rPr>
        <w:t>Committee</w:t>
      </w:r>
      <w:proofErr w:type="spellEnd"/>
      <w:r w:rsidRPr="00944DA3">
        <w:rPr>
          <w:rFonts w:eastAsiaTheme="minorEastAsia"/>
          <w:sz w:val="22"/>
          <w:szCs w:val="22"/>
        </w:rPr>
        <w:t xml:space="preserve"> </w:t>
      </w:r>
      <w:proofErr w:type="spellStart"/>
      <w:r w:rsidRPr="00944DA3">
        <w:rPr>
          <w:rFonts w:eastAsiaTheme="minorEastAsia"/>
          <w:sz w:val="22"/>
          <w:szCs w:val="22"/>
        </w:rPr>
        <w:t>on</w:t>
      </w:r>
      <w:proofErr w:type="spellEnd"/>
      <w:r w:rsidRPr="00944DA3">
        <w:rPr>
          <w:rFonts w:eastAsiaTheme="minorEastAsia"/>
          <w:sz w:val="22"/>
          <w:szCs w:val="22"/>
        </w:rPr>
        <w:t xml:space="preserve"> </w:t>
      </w:r>
      <w:proofErr w:type="spellStart"/>
      <w:r w:rsidRPr="00944DA3">
        <w:rPr>
          <w:rFonts w:eastAsiaTheme="minorEastAsia"/>
          <w:sz w:val="22"/>
          <w:szCs w:val="22"/>
        </w:rPr>
        <w:t>Sponsoring</w:t>
      </w:r>
      <w:proofErr w:type="spellEnd"/>
      <w:r w:rsidRPr="00944DA3">
        <w:rPr>
          <w:rFonts w:eastAsiaTheme="minorEastAsia"/>
          <w:sz w:val="22"/>
          <w:szCs w:val="22"/>
        </w:rPr>
        <w:t xml:space="preserve"> </w:t>
      </w:r>
      <w:proofErr w:type="spellStart"/>
      <w:r w:rsidRPr="00944DA3">
        <w:rPr>
          <w:rFonts w:eastAsiaTheme="minorEastAsia"/>
          <w:sz w:val="22"/>
          <w:szCs w:val="22"/>
        </w:rPr>
        <w:t>Organisations</w:t>
      </w:r>
      <w:proofErr w:type="spellEnd"/>
      <w:r w:rsidRPr="00944DA3">
        <w:rPr>
          <w:rFonts w:eastAsiaTheme="minorEastAsia"/>
          <w:sz w:val="22"/>
          <w:szCs w:val="22"/>
        </w:rPr>
        <w:t xml:space="preserve"> </w:t>
      </w:r>
      <w:proofErr w:type="spellStart"/>
      <w:r w:rsidRPr="00944DA3">
        <w:rPr>
          <w:rFonts w:eastAsiaTheme="minorEastAsia"/>
          <w:sz w:val="22"/>
          <w:szCs w:val="22"/>
        </w:rPr>
        <w:t>of</w:t>
      </w:r>
      <w:proofErr w:type="spellEnd"/>
      <w:r w:rsidRPr="00944DA3">
        <w:rPr>
          <w:rFonts w:eastAsiaTheme="minorEastAsia"/>
          <w:sz w:val="22"/>
          <w:szCs w:val="22"/>
        </w:rPr>
        <w:t xml:space="preserve"> </w:t>
      </w:r>
      <w:proofErr w:type="spellStart"/>
      <w:r w:rsidRPr="00944DA3">
        <w:rPr>
          <w:rFonts w:eastAsiaTheme="minorEastAsia"/>
          <w:sz w:val="22"/>
          <w:szCs w:val="22"/>
        </w:rPr>
        <w:t>the</w:t>
      </w:r>
      <w:proofErr w:type="spellEnd"/>
      <w:r w:rsidRPr="00944DA3">
        <w:rPr>
          <w:rFonts w:eastAsiaTheme="minorEastAsia"/>
          <w:sz w:val="22"/>
          <w:szCs w:val="22"/>
        </w:rPr>
        <w:t xml:space="preserve"> Treadway </w:t>
      </w:r>
      <w:proofErr w:type="spellStart"/>
      <w:r w:rsidRPr="00944DA3">
        <w:rPr>
          <w:rFonts w:eastAsiaTheme="minorEastAsia"/>
          <w:sz w:val="22"/>
          <w:szCs w:val="22"/>
        </w:rPr>
        <w:t>Commission’s</w:t>
      </w:r>
      <w:proofErr w:type="spellEnd"/>
      <w:r w:rsidRPr="00944DA3">
        <w:rPr>
          <w:rFonts w:eastAsiaTheme="minorEastAsia"/>
          <w:sz w:val="22"/>
          <w:szCs w:val="22"/>
        </w:rPr>
        <w:t>), adaptado para Colombia por el Icontec mediante la Norma Técnica NTC5254, actualizada y reemplazada en 2011 por la Norma Técnica NTC-ISO31000, interpreta que la eficiencia del control está en el manejo de los riesgos, propendiendo porque el proceso y sus controles garanticen de manera razonable que los riesgos están minimizados o se están reduciendo y, por lo tanto, que los objetivos de la entidad van a ser alcanzados.</w:t>
      </w:r>
    </w:p>
    <w:p w:rsidR="276C7A9E" w:rsidP="276C7A9E" w:rsidRDefault="276C7A9E" w14:paraId="438BD800" w14:textId="64679FAA">
      <w:pPr>
        <w:spacing w:after="0"/>
        <w:jc w:val="both"/>
        <w:rPr>
          <w:rFonts w:ascii="Arial" w:hAnsi="Arial" w:eastAsia="Arial" w:cs="Arial"/>
        </w:rPr>
      </w:pPr>
    </w:p>
    <w:p w:rsidRPr="008D2E60" w:rsidR="008D2E60" w:rsidP="22A422DE" w:rsidRDefault="594729B1" w14:paraId="2A6F2D4A" w14:textId="31CB2FDF">
      <w:pPr>
        <w:spacing w:after="0"/>
        <w:jc w:val="both"/>
        <w:rPr>
          <w:rFonts w:eastAsiaTheme="minorEastAsia"/>
          <w:sz w:val="22"/>
          <w:szCs w:val="22"/>
        </w:rPr>
      </w:pPr>
      <w:r w:rsidRPr="3BF65CD0">
        <w:rPr>
          <w:rFonts w:eastAsiaTheme="minorEastAsia"/>
          <w:sz w:val="22"/>
          <w:szCs w:val="22"/>
        </w:rPr>
        <w:t xml:space="preserve">Utilizar metodologías para identificar riesgos organizacionales en programas de políticas públicas en un estado es crucial para garantizar el éxito, la transparencia y el uso eficiente de los recursos </w:t>
      </w:r>
      <w:r w:rsidRPr="3BF65CD0">
        <w:rPr>
          <w:rFonts w:eastAsiaTheme="minorEastAsia"/>
          <w:sz w:val="22"/>
          <w:szCs w:val="22"/>
        </w:rPr>
        <w:lastRenderedPageBreak/>
        <w:t xml:space="preserve">públicos. Estas herramientas como </w:t>
      </w:r>
      <w:r w:rsidRPr="3BF65CD0">
        <w:rPr>
          <w:rFonts w:eastAsiaTheme="minorEastAsia"/>
          <w:color w:val="000000" w:themeColor="text1"/>
          <w:sz w:val="22"/>
          <w:szCs w:val="22"/>
        </w:rPr>
        <w:t>el</w:t>
      </w:r>
      <w:r w:rsidRPr="3BF65CD0">
        <w:rPr>
          <w:rFonts w:eastAsiaTheme="minorEastAsia"/>
          <w:sz w:val="22"/>
          <w:szCs w:val="22"/>
        </w:rPr>
        <w:t xml:space="preserve"> árbol de problemas y el enfoque de los ocho pasos de Bardach, permiten anticipar obstáculos, reducir la incertidumbre, mejorar la toma de decisiones basada en datos y blindar los programas contra ineficiencias o actos de corrupción. Es necesario detectar los riesgos antes de que se materialicen, y trabajar en una gestión proactiva con la prevención y no reactiva a la presentación de un problema. </w:t>
      </w:r>
      <w:r w:rsidRPr="333CBDF2">
        <w:rPr>
          <w:rFonts w:eastAsiaTheme="minorEastAsia"/>
          <w:sz w:val="22"/>
          <w:szCs w:val="22"/>
        </w:rPr>
        <w:t>Un</w:t>
      </w:r>
      <w:r w:rsidRPr="333CBDF2" w:rsidR="2970F74B">
        <w:rPr>
          <w:rFonts w:eastAsiaTheme="minorEastAsia"/>
          <w:sz w:val="22"/>
          <w:szCs w:val="22"/>
        </w:rPr>
        <w:t>o</w:t>
      </w:r>
      <w:r w:rsidRPr="3BF65CD0">
        <w:rPr>
          <w:rFonts w:eastAsiaTheme="minorEastAsia"/>
          <w:sz w:val="22"/>
          <w:szCs w:val="22"/>
        </w:rPr>
        <w:t xml:space="preserve"> de los mayores riesgos es la </w:t>
      </w:r>
      <w:r w:rsidRPr="12147F69" w:rsidR="670E5C7F">
        <w:rPr>
          <w:rFonts w:eastAsiaTheme="minorEastAsia"/>
          <w:sz w:val="22"/>
          <w:szCs w:val="22"/>
        </w:rPr>
        <w:t>pérdida</w:t>
      </w:r>
      <w:r w:rsidRPr="3BF65CD0">
        <w:rPr>
          <w:rFonts w:eastAsiaTheme="minorEastAsia"/>
          <w:sz w:val="22"/>
          <w:szCs w:val="22"/>
        </w:rPr>
        <w:t xml:space="preserve"> o mal manejo de los recursos, lo cual se previene con la identificación de las áreas más críticas de necesidad, focalizar el gasto y asignarlos donde realmente se necesitan, evitando el desperdicio.</w:t>
      </w:r>
    </w:p>
    <w:p w:rsidR="00B42201" w:rsidP="22A422DE" w:rsidRDefault="00B42201" w14:paraId="2BD6DCFA" w14:textId="77777777">
      <w:pPr>
        <w:spacing w:after="0"/>
        <w:jc w:val="both"/>
        <w:rPr>
          <w:rFonts w:eastAsiaTheme="minorEastAsia"/>
          <w:sz w:val="22"/>
          <w:szCs w:val="22"/>
        </w:rPr>
      </w:pPr>
    </w:p>
    <w:p w:rsidR="353E23A4" w:rsidP="002B3A54" w:rsidRDefault="594729B1" w14:paraId="666F3488" w14:textId="40A010C7">
      <w:pPr>
        <w:spacing w:after="0"/>
        <w:jc w:val="both"/>
        <w:rPr>
          <w:rFonts w:eastAsiaTheme="minorEastAsia"/>
          <w:sz w:val="22"/>
          <w:szCs w:val="22"/>
        </w:rPr>
      </w:pPr>
      <w:r w:rsidRPr="3BF65CD0">
        <w:rPr>
          <w:rFonts w:eastAsiaTheme="minorEastAsia"/>
          <w:sz w:val="22"/>
          <w:szCs w:val="22"/>
        </w:rPr>
        <w:t xml:space="preserve">Las metodologías estructuradas como matrices de riesgo ayudan a ordenar la incertidumbre inherente a los proyectos públicos, asegurando que se evalúen todas las variables. Los proyectos y programas de política </w:t>
      </w:r>
      <w:r w:rsidRPr="156D0121" w:rsidR="7FAF03C2">
        <w:rPr>
          <w:rFonts w:eastAsiaTheme="minorEastAsia"/>
          <w:sz w:val="22"/>
          <w:szCs w:val="22"/>
        </w:rPr>
        <w:t>pública</w:t>
      </w:r>
      <w:r w:rsidRPr="3BF65CD0">
        <w:rPr>
          <w:rFonts w:eastAsiaTheme="minorEastAsia"/>
          <w:sz w:val="22"/>
          <w:szCs w:val="22"/>
        </w:rPr>
        <w:t xml:space="preserve"> requieren un control y seguimiento a la toma de decisiones, puesto que están obligados a rendir cuentas, para evitar riesgos de corrupción. Antes del resultado que se proyecta, se debe sostener el programa, y ante la existencia de riesgos organizacionales establecer planes de contingencia como mitigación, transferencia o aceptación del riesgo, que garantizan la continuidad y cumplimiento de objetivos, y sobre todo sostener la efectividad de la acción gubernamental.</w:t>
      </w:r>
    </w:p>
    <w:p w:rsidRPr="00B42201" w:rsidR="002B3A54" w:rsidP="002B3A54" w:rsidRDefault="002B3A54" w14:paraId="27CADF35" w14:textId="77777777">
      <w:pPr>
        <w:spacing w:after="0"/>
        <w:jc w:val="both"/>
        <w:rPr>
          <w:rFonts w:eastAsiaTheme="minorEastAsia"/>
          <w:sz w:val="22"/>
          <w:szCs w:val="22"/>
        </w:rPr>
      </w:pPr>
    </w:p>
    <w:p w:rsidRPr="001F7A5B" w:rsidR="009406AB" w:rsidP="009406AB" w:rsidRDefault="009406AB" w14:paraId="51556FE5" w14:textId="0B86BB39">
      <w:pPr>
        <w:jc w:val="both"/>
        <w:rPr>
          <w:sz w:val="22"/>
          <w:szCs w:val="22"/>
        </w:rPr>
      </w:pPr>
      <w:r w:rsidRPr="001F7A5B">
        <w:rPr>
          <w:sz w:val="22"/>
          <w:szCs w:val="22"/>
        </w:rPr>
        <w:t>El análisis de riesgos en políticas públicas requiere herramientas que ayuden a entender el problema y cómo se toman las decisiones para resolverlo. Para ello, se pueden utilizar dos metodologías complementarias: el árbol de problemas y el enfoque de los ocho pasos de Bardach. El árbol de problemas permite identificar de forma clara el problema central, sus causas y sus efectos, facilitando comprender por qué ocurre una situación y cómo se relacionan sus distintos factores. Por su parte, el enfoque de Bardach propone una serie de pasos para analizar políticas públicas, que incluyen definir el problema, reunir información, evaluar alternativas y tomar decisiones. La combinación de estas herramientas permite identificar y analizar de manera más completa los riesgos en el diseño y la implementación de las políticas públicas.</w:t>
      </w:r>
    </w:p>
    <w:p w:rsidRPr="009406AB" w:rsidR="009406AB" w:rsidP="009406AB" w:rsidRDefault="009406AB" w14:paraId="2F4B9FF2" w14:textId="77777777">
      <w:pPr>
        <w:jc w:val="both"/>
      </w:pPr>
    </w:p>
    <w:p w:rsidR="007638C2" w:rsidP="00C677C8" w:rsidRDefault="00206229" w14:paraId="0CF45FE1" w14:textId="335FE4A8">
      <w:pPr>
        <w:pStyle w:val="Ttulo2"/>
        <w:numPr>
          <w:ilvl w:val="1"/>
          <w:numId w:val="32"/>
        </w:numPr>
        <w:rPr>
          <w:b/>
          <w:bCs/>
          <w:color w:val="auto"/>
          <w:sz w:val="24"/>
          <w:szCs w:val="24"/>
        </w:rPr>
      </w:pPr>
      <w:bookmarkStart w:name="_Toc225160622" w:id="27"/>
      <w:r w:rsidRPr="704E30C7">
        <w:rPr>
          <w:b/>
          <w:bCs/>
          <w:color w:val="auto"/>
          <w:sz w:val="24"/>
          <w:szCs w:val="24"/>
        </w:rPr>
        <w:t>Enfoque Bardach</w:t>
      </w:r>
      <w:bookmarkEnd w:id="27"/>
      <w:r w:rsidRPr="704E30C7">
        <w:rPr>
          <w:b/>
          <w:bCs/>
          <w:color w:val="auto"/>
          <w:sz w:val="24"/>
          <w:szCs w:val="24"/>
        </w:rPr>
        <w:t xml:space="preserve"> </w:t>
      </w:r>
    </w:p>
    <w:p w:rsidRPr="009406AB" w:rsidR="009406AB" w:rsidP="00427423" w:rsidRDefault="009406AB" w14:paraId="04968B97" w14:textId="77777777">
      <w:pPr>
        <w:spacing w:line="276" w:lineRule="auto"/>
      </w:pPr>
    </w:p>
    <w:p w:rsidR="25BB3358" w:rsidP="00427423" w:rsidRDefault="25BB3358" w14:paraId="12FC2815" w14:textId="281F446B">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 xml:space="preserve">El análisis de políticas públicas constituye una herramienta fundamental para comprender y abordar problemas colectivos complejos que requieren intervención estatal. Dentro de este campo, uno de los enfoques metodológicos más influyentes es el propuesto por Eugene Bardach en su obra </w:t>
      </w:r>
      <w:r w:rsidRPr="00F8354B">
        <w:rPr>
          <w:rFonts w:cs="Flama Book" w:asciiTheme="minorHAnsi" w:hAnsiTheme="minorHAnsi"/>
          <w:i/>
          <w:iCs/>
          <w:sz w:val="22"/>
          <w:szCs w:val="22"/>
        </w:rPr>
        <w:t xml:space="preserve">A </w:t>
      </w:r>
      <w:proofErr w:type="spellStart"/>
      <w:r w:rsidRPr="00F8354B">
        <w:rPr>
          <w:rFonts w:cs="Flama Book" w:asciiTheme="minorHAnsi" w:hAnsiTheme="minorHAnsi"/>
          <w:i/>
          <w:iCs/>
          <w:sz w:val="22"/>
          <w:szCs w:val="22"/>
        </w:rPr>
        <w:t>Practical</w:t>
      </w:r>
      <w:proofErr w:type="spellEnd"/>
      <w:r w:rsidRPr="00F8354B">
        <w:rPr>
          <w:rFonts w:cs="Flama Book" w:asciiTheme="minorHAnsi" w:hAnsiTheme="minorHAnsi"/>
          <w:i/>
          <w:iCs/>
          <w:sz w:val="22"/>
          <w:szCs w:val="22"/>
        </w:rPr>
        <w:t xml:space="preserve"> Guide </w:t>
      </w:r>
      <w:proofErr w:type="spellStart"/>
      <w:r w:rsidRPr="00F8354B">
        <w:rPr>
          <w:rFonts w:cs="Flama Book" w:asciiTheme="minorHAnsi" w:hAnsiTheme="minorHAnsi"/>
          <w:i/>
          <w:iCs/>
          <w:sz w:val="22"/>
          <w:szCs w:val="22"/>
        </w:rPr>
        <w:t>for</w:t>
      </w:r>
      <w:proofErr w:type="spellEnd"/>
      <w:r w:rsidRPr="00F8354B">
        <w:rPr>
          <w:rFonts w:cs="Flama Book" w:asciiTheme="minorHAnsi" w:hAnsiTheme="minorHAnsi"/>
          <w:i/>
          <w:iCs/>
          <w:sz w:val="22"/>
          <w:szCs w:val="22"/>
        </w:rPr>
        <w:t xml:space="preserve"> Policy </w:t>
      </w:r>
      <w:proofErr w:type="spellStart"/>
      <w:r w:rsidRPr="00F8354B">
        <w:rPr>
          <w:rFonts w:cs="Flama Book" w:asciiTheme="minorHAnsi" w:hAnsiTheme="minorHAnsi"/>
          <w:i/>
          <w:iCs/>
          <w:sz w:val="22"/>
          <w:szCs w:val="22"/>
        </w:rPr>
        <w:t>Analysis</w:t>
      </w:r>
      <w:proofErr w:type="spellEnd"/>
      <w:r w:rsidRPr="00F8354B">
        <w:rPr>
          <w:rFonts w:cs="Flama Book" w:asciiTheme="minorHAnsi" w:hAnsiTheme="minorHAnsi"/>
          <w:i/>
          <w:iCs/>
          <w:sz w:val="22"/>
          <w:szCs w:val="22"/>
        </w:rPr>
        <w:t>,</w:t>
      </w:r>
      <w:r w:rsidRPr="00F8354B">
        <w:rPr>
          <w:rFonts w:cs="Flama Book" w:asciiTheme="minorHAnsi" w:hAnsiTheme="minorHAnsi"/>
          <w:sz w:val="22"/>
          <w:szCs w:val="22"/>
        </w:rPr>
        <w:t xml:space="preserve"> donde desarrolla un método estructurado conocido como el camino de los ocho pasos para el análisis de políticas públicas. Este enfoque se caracteriza por su orientación práctica y por su capacidad para integrar análisis empírico, razonamiento estratégico y evaluación normativa en la formulación de decisiones públicas.</w:t>
      </w:r>
    </w:p>
    <w:p w:rsidRPr="009406AB" w:rsidR="009406AB" w:rsidP="00427423" w:rsidRDefault="009406AB" w14:paraId="78030892" w14:textId="77777777">
      <w:pPr>
        <w:spacing w:after="0" w:line="276" w:lineRule="auto"/>
      </w:pPr>
    </w:p>
    <w:p w:rsidR="25BB3358" w:rsidP="00427423" w:rsidRDefault="25BB3358" w14:paraId="24521923" w14:textId="7762ABD3">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lastRenderedPageBreak/>
        <w:t xml:space="preserve">Bardach plantea que el análisis de políticas públicas no debe entenderse exclusivamente como un procedimiento técnico, sino como una práctica analítica que combina evidencia, juicio profesional y reflexión crítica sobre las posibles consecuencias de las decisiones públicas. En este sentido, el autor señala que el análisis de políticas es “más un arte que una ciencia”, ya que implica interpretar contextos institucionales complejos, anticipar escenarios futuros y evaluar alternativas en situaciones caracterizadas por incertidumbre y múltiples actores (Bardach &amp; </w:t>
      </w:r>
      <w:proofErr w:type="spellStart"/>
      <w:r w:rsidRPr="00F8354B">
        <w:rPr>
          <w:rFonts w:cs="Flama Book" w:asciiTheme="minorHAnsi" w:hAnsiTheme="minorHAnsi"/>
          <w:sz w:val="22"/>
          <w:szCs w:val="22"/>
        </w:rPr>
        <w:t>Patashnik</w:t>
      </w:r>
      <w:proofErr w:type="spellEnd"/>
      <w:r w:rsidRPr="00F8354B">
        <w:rPr>
          <w:rFonts w:cs="Flama Book" w:asciiTheme="minorHAnsi" w:hAnsiTheme="minorHAnsi"/>
          <w:sz w:val="22"/>
          <w:szCs w:val="22"/>
        </w:rPr>
        <w:t>, 2020).</w:t>
      </w:r>
    </w:p>
    <w:p w:rsidRPr="009406AB" w:rsidR="009406AB" w:rsidP="00427423" w:rsidRDefault="009406AB" w14:paraId="122F2FC2" w14:textId="77777777">
      <w:pPr>
        <w:spacing w:after="0" w:line="276" w:lineRule="auto"/>
      </w:pPr>
    </w:p>
    <w:p w:rsidR="25BB3358" w:rsidP="00427423" w:rsidRDefault="25BB3358" w14:paraId="7FBCC3F0" w14:textId="022BF56B">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Este enfoque resulta particularmente pertinente para el estudio del riesgo organizacional en políticas públicas, entendido como la posibilidad de que fallas en las estructuras institucionales, en los procesos de toma de decisiones o en los mecanismos de implementación generen resultados adversos o no previstos en programas gubernamentales. En sectores estratégicos del Estado, como el energético, estas fallas pueden comprometer la eficacia de las políticas públicas, generar ineficiencias en el uso de recursos públicos o producir impactos negativos en las comunidades y territorios afectados por la política.</w:t>
      </w:r>
    </w:p>
    <w:p w:rsidRPr="009406AB" w:rsidR="009406AB" w:rsidP="00427423" w:rsidRDefault="009406AB" w14:paraId="5B82ECFE" w14:textId="77777777">
      <w:pPr>
        <w:spacing w:after="0" w:line="276" w:lineRule="auto"/>
      </w:pPr>
    </w:p>
    <w:p w:rsidR="25BB3358" w:rsidP="00427423" w:rsidRDefault="25BB3358" w14:paraId="3D6C4C4B" w14:textId="0D57DD00">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En este contexto, el modelo de Bardach ofrece un marco metodológico que permite estructurar el análisis del riesgo organizacional mediante un proceso iterativo que integra ocho pasos interrelacionados. El proceso comienza con la definición del problema público, etapa en la cual el analista debe delimitar con precisión la situación que requiere intervención estatal. Bardach advierte que los problemas de política pública suelen formularse inicialmente desde el lenguaje político o institucional de los actores involucrados, lo que exige un examen crítico de dicha formulación para evitar que las soluciones estén implícitas en la definición del problema (Bardach, 2012). En el caso del riesgo organizacional, esta etapa implica identificar las vulnerabilidades institucionales que pueden comprometer la implementación de una política pública, tales como fragmentación institucional, ambigüedad en los objetivos de política, debilidad en los mecanismos de supervisión o limitaciones en la capacidad administrativa de las organizaciones públicas.</w:t>
      </w:r>
    </w:p>
    <w:p w:rsidRPr="009406AB" w:rsidR="009406AB" w:rsidP="00427423" w:rsidRDefault="009406AB" w14:paraId="20E35D41" w14:textId="77777777">
      <w:pPr>
        <w:spacing w:after="0" w:line="276" w:lineRule="auto"/>
      </w:pPr>
    </w:p>
    <w:p w:rsidR="25BB3358" w:rsidP="00427423" w:rsidRDefault="25BB3358" w14:paraId="6710E5FE" w14:textId="236D05A4">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 xml:space="preserve">Una vez definido el problema, el modelo plantea la obtención de información como segundo paso del análisis. Esta etapa consiste en recopilar evidencia empírica que permita comprender la naturaleza del problema y evaluar posibles alternativas de intervención. Bardach distingue entre datos, conocimiento e información, señalando que los datos adquieren valor analítico cuando se transforman en conocimiento significativo que influye en la interpretación del problema y en las decisiones de los actores involucrados (Bardach &amp; </w:t>
      </w:r>
      <w:proofErr w:type="spellStart"/>
      <w:r w:rsidRPr="00F8354B">
        <w:rPr>
          <w:rFonts w:cs="Flama Book" w:asciiTheme="minorHAnsi" w:hAnsiTheme="minorHAnsi"/>
          <w:sz w:val="22"/>
          <w:szCs w:val="22"/>
        </w:rPr>
        <w:t>Patashnik</w:t>
      </w:r>
      <w:proofErr w:type="spellEnd"/>
      <w:r w:rsidRPr="00F8354B">
        <w:rPr>
          <w:rFonts w:cs="Flama Book" w:asciiTheme="minorHAnsi" w:hAnsiTheme="minorHAnsi"/>
          <w:sz w:val="22"/>
          <w:szCs w:val="22"/>
        </w:rPr>
        <w:t>, 2020). En el análisis del riesgo organizacional, esta fase implica examinar antecedentes institucionales, revisar experiencias comparadas y analizar patrones históricos de fallas organizacionales en políticas públicas similares.</w:t>
      </w:r>
    </w:p>
    <w:p w:rsidRPr="009406AB" w:rsidR="009406AB" w:rsidP="00427423" w:rsidRDefault="009406AB" w14:paraId="592FEA42" w14:textId="77777777">
      <w:pPr>
        <w:spacing w:after="0" w:line="276" w:lineRule="auto"/>
      </w:pPr>
    </w:p>
    <w:p w:rsidRPr="0018222F" w:rsidR="25BB3358" w:rsidP="00427423" w:rsidRDefault="25BB3358" w14:paraId="6B234B74" w14:textId="60614E3B">
      <w:pPr>
        <w:pStyle w:val="Pa4"/>
        <w:spacing w:line="276" w:lineRule="auto"/>
        <w:jc w:val="both"/>
        <w:rPr>
          <w:rFonts w:cs="Flama Book" w:asciiTheme="minorHAnsi" w:hAnsiTheme="minorHAnsi"/>
          <w:sz w:val="22"/>
          <w:szCs w:val="22"/>
        </w:rPr>
      </w:pPr>
      <w:r w:rsidRPr="0018222F">
        <w:rPr>
          <w:rFonts w:cs="Flama Book" w:asciiTheme="minorHAnsi" w:hAnsiTheme="minorHAnsi"/>
          <w:sz w:val="22"/>
          <w:szCs w:val="22"/>
        </w:rPr>
        <w:t xml:space="preserve">El tercer paso corresponde a la construcción de alternativas de política, proceso mediante el cual el analista identifica diferentes estrategias institucionales para abordar el problema identificado. </w:t>
      </w:r>
      <w:r w:rsidRPr="0018222F">
        <w:rPr>
          <w:rFonts w:cs="Flama Book" w:asciiTheme="minorHAnsi" w:hAnsiTheme="minorHAnsi"/>
          <w:sz w:val="22"/>
          <w:szCs w:val="22"/>
        </w:rPr>
        <w:lastRenderedPageBreak/>
        <w:t>Bardach recomienda comenzar con un conjunto amplio de alternativas y posteriormente simplificarlas mediante la identificación de estrategias básicas y variantes de implementación (Bardach, 2012). En el contexto del riesgo organizacional, estas alternativas pueden incluir reformas regulatorias, fortalecimiento de capacidades institucionales, rediseño de mecanismos de coordinación interinstitucional o mejoras en los sistemas de seguimiento y evaluación de políticas públicas.</w:t>
      </w:r>
    </w:p>
    <w:p w:rsidRPr="009406AB" w:rsidR="009406AB" w:rsidP="00427423" w:rsidRDefault="009406AB" w14:paraId="5016D880" w14:textId="77777777">
      <w:pPr>
        <w:spacing w:after="0" w:line="276" w:lineRule="auto"/>
      </w:pPr>
    </w:p>
    <w:p w:rsidR="25BB3358" w:rsidP="00427423" w:rsidRDefault="25BB3358" w14:paraId="78F19126" w14:textId="4C4A13DB">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 xml:space="preserve">Posteriormente, el análisis requiere la selección de criterios de evaluación, los cuales representan los valores normativos que orientan la comparación entre las alternativas disponibles. Entre los criterios comúnmente utilizados en el análisis de políticas públicas se encuentran la eficiencia, la equidad, la legalidad, la viabilidad política y la factibilidad administrativa (Bardach &amp; </w:t>
      </w:r>
      <w:proofErr w:type="spellStart"/>
      <w:r w:rsidRPr="00F8354B">
        <w:rPr>
          <w:rFonts w:cs="Flama Book" w:asciiTheme="minorHAnsi" w:hAnsiTheme="minorHAnsi"/>
          <w:sz w:val="22"/>
          <w:szCs w:val="22"/>
        </w:rPr>
        <w:t>Patashnik</w:t>
      </w:r>
      <w:proofErr w:type="spellEnd"/>
      <w:r w:rsidRPr="00F8354B">
        <w:rPr>
          <w:rFonts w:cs="Flama Book" w:asciiTheme="minorHAnsi" w:hAnsiTheme="minorHAnsi"/>
          <w:sz w:val="22"/>
          <w:szCs w:val="22"/>
        </w:rPr>
        <w:t>, 2020). En el análisis del riesgo organizacional, estos criterios permiten evaluar en qué medida cada alternativa contribuye a reducir vulnerabilidades institucionales y a fortalecer la capacidad de las organizaciones públicas para implementar políticas complejas.</w:t>
      </w:r>
    </w:p>
    <w:p w:rsidRPr="009406AB" w:rsidR="009406AB" w:rsidP="00427423" w:rsidRDefault="009406AB" w14:paraId="1FEF68C9" w14:textId="77777777">
      <w:pPr>
        <w:spacing w:after="0" w:line="276" w:lineRule="auto"/>
      </w:pPr>
    </w:p>
    <w:p w:rsidR="25BB3358" w:rsidP="00427423" w:rsidRDefault="25BB3358" w14:paraId="1852F202" w14:textId="17881BC4">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El quinto paso del modelo consiste en la proyección de resultados, etapa en la cual el analista estima las consecuencias que podría generar cada alternativa de política pública. Este ejercicio implica analizar los posibles efectos futuros de las decisiones institucionales, considerando tanto los beneficios esperados como las consecuencias no previstas que podrían surgir durante la implementación de la política. En el caso del riesgo organizacional, la proyección de resultados permite identificar escenarios en los que determinadas decisiones institucionales podrían generar fallas de coordinación, problemas de implementación o resultados no deseados en el funcionamiento de la política pública.</w:t>
      </w:r>
    </w:p>
    <w:p w:rsidRPr="009406AB" w:rsidR="009406AB" w:rsidP="00427423" w:rsidRDefault="009406AB" w14:paraId="4335824C" w14:textId="77777777">
      <w:pPr>
        <w:spacing w:after="0" w:line="276" w:lineRule="auto"/>
      </w:pPr>
    </w:p>
    <w:p w:rsidR="25BB3358" w:rsidP="00427423" w:rsidRDefault="25BB3358" w14:paraId="4AEEA557" w14:textId="05F94B9B">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El análisis continúa con la confrontación de costos y beneficios, proceso mediante el cual se comparan las distintas alternativas de política pública a partir de los resultados proyectados. Bardach señala que esta etapa permite evaluar cuál de las alternativas disponibles ofrece un balance más favorable entre los beneficios esperados y los recursos necesarios para su implementación (Bardach, 2012). En el análisis del riesgo organizacional, esta comparación debe considerar no sólo los costos financieros de cada alternativa, sino también los costos institucionales asociados a posibles fallas en la implementación de la política.</w:t>
      </w:r>
    </w:p>
    <w:p w:rsidRPr="009406AB" w:rsidR="009406AB" w:rsidP="00427423" w:rsidRDefault="009406AB" w14:paraId="4D20092B" w14:textId="77777777">
      <w:pPr>
        <w:spacing w:after="0" w:line="276" w:lineRule="auto"/>
      </w:pPr>
    </w:p>
    <w:p w:rsidR="25BB3358" w:rsidP="00427423" w:rsidRDefault="25BB3358" w14:paraId="4E9F44F4" w14:textId="60A33C7D">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 xml:space="preserve">El séptimo paso del modelo corresponde a la formulación de una decisión o recomendación de política pública. Aunque el analista no siempre es el responsable directo de adoptar la decisión final, Bardach sostiene que el análisis debe estructurarse como si el propio analista tuviera que tomar la decisión, evaluando críticamente las alternativas disponibles y seleccionando aquella que ofrezca la respuesta más adecuada al problema identificado (Bardach &amp; </w:t>
      </w:r>
      <w:proofErr w:type="spellStart"/>
      <w:r w:rsidRPr="00F8354B">
        <w:rPr>
          <w:rFonts w:cs="Flama Book" w:asciiTheme="minorHAnsi" w:hAnsiTheme="minorHAnsi"/>
          <w:sz w:val="22"/>
          <w:szCs w:val="22"/>
        </w:rPr>
        <w:t>Patashnik</w:t>
      </w:r>
      <w:proofErr w:type="spellEnd"/>
      <w:r w:rsidRPr="00F8354B">
        <w:rPr>
          <w:rFonts w:cs="Flama Book" w:asciiTheme="minorHAnsi" w:hAnsiTheme="minorHAnsi"/>
          <w:sz w:val="22"/>
          <w:szCs w:val="22"/>
        </w:rPr>
        <w:t>, 2020). En el contexto del riesgo organizacional, esta recomendación debe orientarse a fortalecer las capacidades institucionales necesarias para prevenir o mitigar posibles fallas en la implementación de las políticas públicas.</w:t>
      </w:r>
    </w:p>
    <w:p w:rsidRPr="009406AB" w:rsidR="009406AB" w:rsidP="00427423" w:rsidRDefault="009406AB" w14:paraId="3B06056B" w14:textId="77777777">
      <w:pPr>
        <w:spacing w:after="0" w:line="276" w:lineRule="auto"/>
      </w:pPr>
    </w:p>
    <w:p w:rsidR="00436C3B" w:rsidP="001F7A5B" w:rsidRDefault="25BB3358" w14:paraId="7BF035F2" w14:textId="2D78D3CB">
      <w:pPr>
        <w:pStyle w:val="Pa4"/>
        <w:spacing w:line="276" w:lineRule="auto"/>
        <w:jc w:val="both"/>
      </w:pPr>
      <w:r w:rsidRPr="3DE34E86" w:rsidR="25BB3358">
        <w:rPr>
          <w:rFonts w:ascii="Aptos" w:hAnsi="Aptos" w:cs="Flama Book" w:asciiTheme="minorAscii" w:hAnsiTheme="minorAscii"/>
          <w:sz w:val="22"/>
          <w:szCs w:val="22"/>
        </w:rPr>
        <w:t xml:space="preserve">Finalmente, el modelo culmina con la comunicación del análisis, etapa en la cual el analista debe presentar de manera clara y coherente la lógica del análisis realizado, las alternativas consideradas y las razones que sustentan la recomendación propuesta. Bardach señala que el analista debe ser capaz de explicar la “historia del problema” de forma comprensible para los responsables de la toma de decisiones, de modo que puedan evaluar adecuadamente las implicaciones de las alternativas analizadas (Bardach &amp; </w:t>
      </w:r>
      <w:r w:rsidRPr="3DE34E86" w:rsidR="25BB3358">
        <w:rPr>
          <w:rFonts w:ascii="Aptos" w:hAnsi="Aptos" w:cs="Flama Book" w:asciiTheme="minorAscii" w:hAnsiTheme="minorAscii"/>
          <w:sz w:val="22"/>
          <w:szCs w:val="22"/>
        </w:rPr>
        <w:t>Patashnik</w:t>
      </w:r>
      <w:r w:rsidRPr="3DE34E86" w:rsidR="25BB3358">
        <w:rPr>
          <w:rFonts w:ascii="Aptos" w:hAnsi="Aptos" w:cs="Flama Book" w:asciiTheme="minorAscii" w:hAnsiTheme="minorAscii"/>
          <w:sz w:val="22"/>
          <w:szCs w:val="22"/>
        </w:rPr>
        <w:t>, 2020).</w:t>
      </w:r>
    </w:p>
    <w:p w:rsidR="3DE34E86" w:rsidP="3DE34E86" w:rsidRDefault="3DE34E86" w14:paraId="3B053799" w14:textId="7ADDAF45">
      <w:pPr>
        <w:pStyle w:val="Normal"/>
      </w:pPr>
    </w:p>
    <w:p w:rsidRPr="00436C3B" w:rsidR="006A74C9" w:rsidP="001F7A5B" w:rsidRDefault="00CA000A" w14:paraId="5A711F8E" w14:textId="3611989F">
      <w:pPr>
        <w:jc w:val="center"/>
      </w:pPr>
      <w:r w:rsidRPr="00436C3B">
        <w:rPr>
          <w:noProof/>
        </w:rPr>
        <w:drawing>
          <wp:anchor distT="0" distB="0" distL="114300" distR="114300" simplePos="0" relativeHeight="251658242" behindDoc="0" locked="0" layoutInCell="1" allowOverlap="1" wp14:anchorId="4BC3D8ED" wp14:editId="656A0C27">
            <wp:simplePos x="0" y="0"/>
            <wp:positionH relativeFrom="column">
              <wp:posOffset>916489</wp:posOffset>
            </wp:positionH>
            <wp:positionV relativeFrom="paragraph">
              <wp:posOffset>195525</wp:posOffset>
            </wp:positionV>
            <wp:extent cx="3598938" cy="3757952"/>
            <wp:effectExtent l="0" t="0" r="1905" b="0"/>
            <wp:wrapNone/>
            <wp:docPr id="1497754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54093"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598938" cy="3757952"/>
                    </a:xfrm>
                    <a:prstGeom prst="rect">
                      <a:avLst/>
                    </a:prstGeom>
                  </pic:spPr>
                </pic:pic>
              </a:graphicData>
            </a:graphic>
            <wp14:sizeRelH relativeFrom="margin">
              <wp14:pctWidth>0</wp14:pctWidth>
            </wp14:sizeRelH>
            <wp14:sizeRelV relativeFrom="margin">
              <wp14:pctHeight>0</wp14:pctHeight>
            </wp14:sizeRelV>
          </wp:anchor>
        </w:drawing>
      </w:r>
      <w:r w:rsidRPr="00F90903" w:rsidR="006A74C9">
        <w:rPr>
          <w:b/>
          <w:bCs/>
          <w:i/>
          <w:iCs/>
          <w:sz w:val="20"/>
          <w:szCs w:val="20"/>
        </w:rPr>
        <w:t xml:space="preserve">Ilustración </w:t>
      </w:r>
      <w:r w:rsidR="006A74C9">
        <w:rPr>
          <w:b/>
          <w:bCs/>
          <w:i/>
          <w:iCs/>
          <w:sz w:val="20"/>
          <w:szCs w:val="20"/>
        </w:rPr>
        <w:t>4</w:t>
      </w:r>
      <w:r w:rsidRPr="00F90903" w:rsidR="006A74C9">
        <w:rPr>
          <w:i/>
          <w:iCs/>
          <w:sz w:val="20"/>
          <w:szCs w:val="20"/>
        </w:rPr>
        <w:t xml:space="preserve">. </w:t>
      </w:r>
      <w:r>
        <w:rPr>
          <w:i/>
          <w:iCs/>
          <w:sz w:val="20"/>
          <w:szCs w:val="20"/>
        </w:rPr>
        <w:t>Ocho pasos del enfoque de Bardach</w:t>
      </w:r>
    </w:p>
    <w:p w:rsidRPr="00436C3B" w:rsidR="00436C3B" w:rsidP="00436C3B" w:rsidRDefault="00436C3B" w14:paraId="458AD404" w14:textId="2F1D1A42">
      <w:pPr>
        <w:jc w:val="center"/>
      </w:pPr>
    </w:p>
    <w:p w:rsidRPr="009406AB" w:rsidR="009406AB" w:rsidP="00427423" w:rsidRDefault="009406AB" w14:paraId="412D2F58" w14:textId="77777777">
      <w:pPr>
        <w:spacing w:after="0" w:line="276" w:lineRule="auto"/>
      </w:pPr>
    </w:p>
    <w:p w:rsidR="00CA000A" w:rsidP="00427423" w:rsidRDefault="00CA000A" w14:paraId="04645539" w14:textId="77777777">
      <w:pPr>
        <w:pStyle w:val="Pa4"/>
        <w:spacing w:line="276" w:lineRule="auto"/>
        <w:jc w:val="both"/>
        <w:rPr>
          <w:rFonts w:cs="Flama Book" w:asciiTheme="minorHAnsi" w:hAnsiTheme="minorHAnsi"/>
          <w:sz w:val="22"/>
          <w:szCs w:val="22"/>
        </w:rPr>
      </w:pPr>
    </w:p>
    <w:p w:rsidR="00CA000A" w:rsidP="00427423" w:rsidRDefault="00CA000A" w14:paraId="6E9B2833" w14:textId="77777777">
      <w:pPr>
        <w:pStyle w:val="Pa4"/>
        <w:spacing w:line="276" w:lineRule="auto"/>
        <w:jc w:val="both"/>
        <w:rPr>
          <w:rFonts w:cs="Flama Book" w:asciiTheme="minorHAnsi" w:hAnsiTheme="minorHAnsi"/>
          <w:sz w:val="22"/>
          <w:szCs w:val="22"/>
        </w:rPr>
      </w:pPr>
    </w:p>
    <w:p w:rsidR="00CA000A" w:rsidP="00427423" w:rsidRDefault="00CA000A" w14:paraId="397E2BC1" w14:textId="77777777">
      <w:pPr>
        <w:pStyle w:val="Pa4"/>
        <w:spacing w:line="276" w:lineRule="auto"/>
        <w:jc w:val="both"/>
        <w:rPr>
          <w:rFonts w:cs="Flama Book" w:asciiTheme="minorHAnsi" w:hAnsiTheme="minorHAnsi"/>
          <w:sz w:val="22"/>
          <w:szCs w:val="22"/>
        </w:rPr>
      </w:pPr>
    </w:p>
    <w:p w:rsidR="00CA000A" w:rsidP="00427423" w:rsidRDefault="00CA000A" w14:paraId="245B7503" w14:textId="0E9AC7EA">
      <w:pPr>
        <w:pStyle w:val="Pa4"/>
        <w:spacing w:line="276" w:lineRule="auto"/>
        <w:jc w:val="both"/>
        <w:rPr>
          <w:rFonts w:cs="Flama Book" w:asciiTheme="minorHAnsi" w:hAnsiTheme="minorHAnsi"/>
          <w:sz w:val="22"/>
          <w:szCs w:val="22"/>
        </w:rPr>
      </w:pPr>
    </w:p>
    <w:p w:rsidR="00CA000A" w:rsidP="00427423" w:rsidRDefault="00CA000A" w14:paraId="2807EC25" w14:textId="77777777">
      <w:pPr>
        <w:pStyle w:val="Pa4"/>
        <w:spacing w:line="276" w:lineRule="auto"/>
        <w:jc w:val="both"/>
        <w:rPr>
          <w:rFonts w:cs="Flama Book" w:asciiTheme="minorHAnsi" w:hAnsiTheme="minorHAnsi"/>
          <w:sz w:val="22"/>
          <w:szCs w:val="22"/>
        </w:rPr>
      </w:pPr>
    </w:p>
    <w:p w:rsidR="00CA000A" w:rsidP="00427423" w:rsidRDefault="00CA000A" w14:paraId="0AA1EE77" w14:textId="77777777">
      <w:pPr>
        <w:pStyle w:val="Pa4"/>
        <w:spacing w:line="276" w:lineRule="auto"/>
        <w:jc w:val="both"/>
        <w:rPr>
          <w:rFonts w:cs="Flama Book" w:asciiTheme="minorHAnsi" w:hAnsiTheme="minorHAnsi"/>
          <w:sz w:val="22"/>
          <w:szCs w:val="22"/>
        </w:rPr>
      </w:pPr>
    </w:p>
    <w:p w:rsidR="00CA000A" w:rsidP="00427423" w:rsidRDefault="00CA000A" w14:paraId="7B1C4412" w14:textId="77777777">
      <w:pPr>
        <w:pStyle w:val="Pa4"/>
        <w:spacing w:line="276" w:lineRule="auto"/>
        <w:jc w:val="both"/>
        <w:rPr>
          <w:rFonts w:cs="Flama Book" w:asciiTheme="minorHAnsi" w:hAnsiTheme="minorHAnsi"/>
          <w:sz w:val="22"/>
          <w:szCs w:val="22"/>
        </w:rPr>
      </w:pPr>
    </w:p>
    <w:p w:rsidR="00CA000A" w:rsidP="00427423" w:rsidRDefault="00CA000A" w14:paraId="61587F7B" w14:textId="4FDA5D72">
      <w:pPr>
        <w:pStyle w:val="Pa4"/>
        <w:spacing w:line="276" w:lineRule="auto"/>
        <w:jc w:val="both"/>
        <w:rPr>
          <w:rFonts w:cs="Flama Book" w:asciiTheme="minorHAnsi" w:hAnsiTheme="minorHAnsi"/>
          <w:sz w:val="22"/>
          <w:szCs w:val="22"/>
        </w:rPr>
      </w:pPr>
    </w:p>
    <w:p w:rsidR="00CA000A" w:rsidP="00427423" w:rsidRDefault="00CA000A" w14:paraId="669551FE" w14:textId="77777777">
      <w:pPr>
        <w:pStyle w:val="Pa4"/>
        <w:spacing w:line="276" w:lineRule="auto"/>
        <w:jc w:val="both"/>
        <w:rPr>
          <w:rFonts w:cs="Flama Book" w:asciiTheme="minorHAnsi" w:hAnsiTheme="minorHAnsi"/>
          <w:sz w:val="22"/>
          <w:szCs w:val="22"/>
        </w:rPr>
      </w:pPr>
    </w:p>
    <w:p w:rsidR="00CA000A" w:rsidP="00427423" w:rsidRDefault="00CA000A" w14:paraId="27EFFE2B" w14:textId="77777777">
      <w:pPr>
        <w:pStyle w:val="Pa4"/>
        <w:spacing w:line="276" w:lineRule="auto"/>
        <w:jc w:val="both"/>
        <w:rPr>
          <w:rFonts w:cs="Flama Book" w:asciiTheme="minorHAnsi" w:hAnsiTheme="minorHAnsi"/>
          <w:sz w:val="22"/>
          <w:szCs w:val="22"/>
        </w:rPr>
      </w:pPr>
    </w:p>
    <w:p w:rsidR="00CA000A" w:rsidP="00427423" w:rsidRDefault="00CA000A" w14:paraId="45F6BD6A" w14:textId="77777777">
      <w:pPr>
        <w:pStyle w:val="Pa4"/>
        <w:spacing w:line="276" w:lineRule="auto"/>
        <w:jc w:val="both"/>
        <w:rPr>
          <w:rFonts w:cs="Flama Book" w:asciiTheme="minorHAnsi" w:hAnsiTheme="minorHAnsi"/>
          <w:sz w:val="22"/>
          <w:szCs w:val="22"/>
        </w:rPr>
      </w:pPr>
    </w:p>
    <w:p w:rsidR="00CA000A" w:rsidP="00427423" w:rsidRDefault="00CA000A" w14:paraId="6EEA09B5" w14:textId="77777777">
      <w:pPr>
        <w:pStyle w:val="Pa4"/>
        <w:spacing w:line="276" w:lineRule="auto"/>
        <w:jc w:val="both"/>
        <w:rPr>
          <w:rFonts w:cs="Flama Book" w:asciiTheme="minorHAnsi" w:hAnsiTheme="minorHAnsi"/>
          <w:sz w:val="22"/>
          <w:szCs w:val="22"/>
        </w:rPr>
      </w:pPr>
    </w:p>
    <w:p w:rsidR="00CA000A" w:rsidP="00427423" w:rsidRDefault="00CA000A" w14:paraId="29EE330A" w14:textId="77777777">
      <w:pPr>
        <w:pStyle w:val="Pa4"/>
        <w:spacing w:line="276" w:lineRule="auto"/>
        <w:jc w:val="both"/>
        <w:rPr>
          <w:rFonts w:cs="Flama Book" w:asciiTheme="minorHAnsi" w:hAnsiTheme="minorHAnsi"/>
          <w:sz w:val="22"/>
          <w:szCs w:val="22"/>
        </w:rPr>
      </w:pPr>
    </w:p>
    <w:p w:rsidR="00CA000A" w:rsidP="00427423" w:rsidRDefault="00CA000A" w14:paraId="0B238D40" w14:textId="77777777">
      <w:pPr>
        <w:pStyle w:val="Pa4"/>
        <w:spacing w:line="276" w:lineRule="auto"/>
        <w:jc w:val="both"/>
        <w:rPr>
          <w:rFonts w:cs="Flama Book" w:asciiTheme="minorHAnsi" w:hAnsiTheme="minorHAnsi"/>
          <w:sz w:val="22"/>
          <w:szCs w:val="22"/>
        </w:rPr>
      </w:pPr>
    </w:p>
    <w:p w:rsidR="00CA000A" w:rsidP="00427423" w:rsidRDefault="00CA000A" w14:paraId="327E409D" w14:textId="77777777">
      <w:pPr>
        <w:pStyle w:val="Pa4"/>
        <w:spacing w:line="276" w:lineRule="auto"/>
        <w:jc w:val="both"/>
        <w:rPr>
          <w:rFonts w:cs="Flama Book" w:asciiTheme="minorHAnsi" w:hAnsiTheme="minorHAnsi"/>
          <w:sz w:val="22"/>
          <w:szCs w:val="22"/>
        </w:rPr>
      </w:pPr>
    </w:p>
    <w:p w:rsidR="00CA000A" w:rsidP="00427423" w:rsidRDefault="00CA000A" w14:paraId="5A2366F3" w14:textId="77777777">
      <w:pPr>
        <w:pStyle w:val="Pa4"/>
        <w:spacing w:line="276" w:lineRule="auto"/>
        <w:jc w:val="both"/>
        <w:rPr>
          <w:rFonts w:cs="Flama Book" w:asciiTheme="minorHAnsi" w:hAnsiTheme="minorHAnsi"/>
          <w:sz w:val="22"/>
          <w:szCs w:val="22"/>
        </w:rPr>
      </w:pPr>
    </w:p>
    <w:p w:rsidR="00CA000A" w:rsidP="00427423" w:rsidRDefault="00CA000A" w14:paraId="502512EF" w14:textId="77777777">
      <w:pPr>
        <w:pStyle w:val="Pa4"/>
        <w:spacing w:line="276" w:lineRule="auto"/>
        <w:jc w:val="both"/>
        <w:rPr>
          <w:rFonts w:cs="Flama Book" w:asciiTheme="minorHAnsi" w:hAnsiTheme="minorHAnsi"/>
          <w:sz w:val="22"/>
          <w:szCs w:val="22"/>
        </w:rPr>
      </w:pPr>
    </w:p>
    <w:p w:rsidRPr="001F7A5B" w:rsidR="00CA000A" w:rsidP="001F7A5B" w:rsidRDefault="00D517B7" w14:paraId="2A9888A8" w14:textId="3FAC6C6D">
      <w:pPr>
        <w:pStyle w:val="Pa4"/>
        <w:spacing w:line="276" w:lineRule="auto"/>
        <w:jc w:val="center"/>
        <w:rPr>
          <w:rFonts w:cs="Flama Book" w:asciiTheme="minorHAnsi" w:hAnsiTheme="minorHAnsi"/>
          <w:sz w:val="20"/>
          <w:szCs w:val="20"/>
        </w:rPr>
      </w:pPr>
      <w:r w:rsidRPr="001F7A5B">
        <w:rPr>
          <w:rFonts w:cs="Flama Book" w:asciiTheme="minorHAnsi" w:hAnsiTheme="minorHAnsi"/>
          <w:sz w:val="20"/>
          <w:szCs w:val="20"/>
        </w:rPr>
        <w:t>Fuente: Elaboración propia.</w:t>
      </w:r>
    </w:p>
    <w:p w:rsidR="00CA000A" w:rsidP="00427423" w:rsidRDefault="00CA000A" w14:paraId="14D62156" w14:textId="77777777">
      <w:pPr>
        <w:pStyle w:val="Pa4"/>
        <w:spacing w:line="276" w:lineRule="auto"/>
        <w:jc w:val="both"/>
        <w:rPr>
          <w:rFonts w:cs="Flama Book" w:asciiTheme="minorHAnsi" w:hAnsiTheme="minorHAnsi"/>
          <w:sz w:val="22"/>
          <w:szCs w:val="22"/>
        </w:rPr>
      </w:pPr>
    </w:p>
    <w:p w:rsidR="25BB3358" w:rsidP="00427423" w:rsidRDefault="25BB3358" w14:paraId="3AE2BBBE" w14:textId="09920883">
      <w:pPr>
        <w:pStyle w:val="Pa4"/>
        <w:spacing w:line="276" w:lineRule="auto"/>
        <w:jc w:val="both"/>
        <w:rPr>
          <w:rFonts w:cs="Flama Book" w:asciiTheme="minorHAnsi" w:hAnsiTheme="minorHAnsi"/>
          <w:sz w:val="22"/>
          <w:szCs w:val="22"/>
        </w:rPr>
      </w:pPr>
      <w:r w:rsidRPr="00F8354B">
        <w:rPr>
          <w:rFonts w:cs="Flama Book" w:asciiTheme="minorHAnsi" w:hAnsiTheme="minorHAnsi"/>
          <w:sz w:val="22"/>
          <w:szCs w:val="22"/>
        </w:rPr>
        <w:t>Para una audiencia institucional como el Ministerio de Minas y Energía, la aplicación de este enfoque metodológico permite estructurar el análisis del riesgo organizacional en políticas públicas energéticas mediante un proceso sistemático que integra evidencia empírica, evaluación crítica de alternativas y formulación de recomendaciones fundamentadas. En contextos caracterizados por alta complejidad institucional, inversiones de gran escala y múltiples actores involucrados, el modelo de Bardach ofrece una herramienta analítica que contribuye a mejorar la calidad de las decisiones públicas y a reducir la probabilidad de fallas organizacionales que puedan comprometer la efectividad de las políticas implementadas.</w:t>
      </w:r>
    </w:p>
    <w:p w:rsidRPr="00AC0219" w:rsidR="00543E1E" w:rsidP="00543E1E" w:rsidRDefault="00543E1E" w14:paraId="19EF3E8A" w14:textId="77777777">
      <w:pPr>
        <w:jc w:val="both"/>
      </w:pPr>
    </w:p>
    <w:p w:rsidRPr="00080B79" w:rsidR="00DB0BDF" w:rsidP="00C677C8" w:rsidRDefault="00DB0BDF" w14:paraId="6CECFB1B" w14:textId="6B26FB84">
      <w:pPr>
        <w:pStyle w:val="Ttulo1"/>
        <w:numPr>
          <w:ilvl w:val="0"/>
          <w:numId w:val="32"/>
        </w:numPr>
        <w:jc w:val="center"/>
        <w:rPr>
          <w:b/>
          <w:bCs/>
          <w:color w:val="auto"/>
          <w:sz w:val="24"/>
          <w:szCs w:val="24"/>
        </w:rPr>
      </w:pPr>
      <w:bookmarkStart w:name="_Toc225160623" w:id="28"/>
      <w:r w:rsidRPr="00080B79">
        <w:rPr>
          <w:b/>
          <w:bCs/>
          <w:color w:val="auto"/>
          <w:sz w:val="24"/>
          <w:szCs w:val="24"/>
        </w:rPr>
        <w:lastRenderedPageBreak/>
        <w:t>MATRIZ METODOLÓGICA DE ANÁLISIS DE RIESGOS EN POLÍTICAS PÚBLICAS</w:t>
      </w:r>
      <w:bookmarkEnd w:id="28"/>
    </w:p>
    <w:p w:rsidRPr="009E2A95" w:rsidR="00DC6711" w:rsidP="009E2A95" w:rsidRDefault="00DC6711" w14:paraId="65A6A777" w14:textId="77777777"/>
    <w:p w:rsidRPr="00E03492" w:rsidR="00DB0BDF" w:rsidP="00DC6711" w:rsidRDefault="00495971" w14:paraId="13D24472" w14:textId="6151CE23">
      <w:pPr>
        <w:spacing w:line="276" w:lineRule="auto"/>
        <w:jc w:val="both"/>
        <w:rPr>
          <w:sz w:val="22"/>
          <w:szCs w:val="22"/>
        </w:rPr>
      </w:pPr>
      <w:r w:rsidRPr="00E03492">
        <w:rPr>
          <w:sz w:val="22"/>
          <w:szCs w:val="22"/>
        </w:rPr>
        <w:t>A partir de</w:t>
      </w:r>
      <w:r w:rsidRPr="00E03492" w:rsidR="00E07D83">
        <w:rPr>
          <w:sz w:val="22"/>
          <w:szCs w:val="22"/>
        </w:rPr>
        <w:t>l marco teórico desarrollado, del análisis de los casos de contexto internacional y de las metodo</w:t>
      </w:r>
      <w:r w:rsidRPr="00E03492" w:rsidR="00450F7B">
        <w:rPr>
          <w:sz w:val="22"/>
          <w:szCs w:val="22"/>
        </w:rPr>
        <w:t>logías de</w:t>
      </w:r>
      <w:r w:rsidRPr="00E03492" w:rsidR="005E7EC7">
        <w:rPr>
          <w:sz w:val="22"/>
          <w:szCs w:val="22"/>
        </w:rPr>
        <w:t>l Enfoque de</w:t>
      </w:r>
      <w:r w:rsidRPr="00E03492" w:rsidR="00450F7B">
        <w:rPr>
          <w:sz w:val="22"/>
          <w:szCs w:val="22"/>
        </w:rPr>
        <w:t xml:space="preserve"> </w:t>
      </w:r>
      <w:r w:rsidRPr="00E03492" w:rsidR="00D777F2">
        <w:rPr>
          <w:sz w:val="22"/>
          <w:szCs w:val="22"/>
        </w:rPr>
        <w:t xml:space="preserve">Bardach y </w:t>
      </w:r>
      <w:r w:rsidRPr="00E03492" w:rsidR="005E7EC7">
        <w:rPr>
          <w:sz w:val="22"/>
          <w:szCs w:val="22"/>
        </w:rPr>
        <w:t xml:space="preserve">el Árbol de problemas, se propone una herramienta </w:t>
      </w:r>
      <w:r w:rsidRPr="00E03492" w:rsidR="008F1312">
        <w:rPr>
          <w:sz w:val="22"/>
          <w:szCs w:val="22"/>
        </w:rPr>
        <w:t xml:space="preserve">de tipo cualitativo </w:t>
      </w:r>
      <w:r w:rsidRPr="00E03492" w:rsidR="005E7EC7">
        <w:rPr>
          <w:sz w:val="22"/>
          <w:szCs w:val="22"/>
        </w:rPr>
        <w:t>que</w:t>
      </w:r>
      <w:r w:rsidRPr="00E03492" w:rsidR="006E30EC">
        <w:rPr>
          <w:sz w:val="22"/>
          <w:szCs w:val="22"/>
        </w:rPr>
        <w:t xml:space="preserve"> facilita la indagación de</w:t>
      </w:r>
      <w:r w:rsidRPr="00E03492" w:rsidR="0095394B">
        <w:rPr>
          <w:sz w:val="22"/>
          <w:szCs w:val="22"/>
        </w:rPr>
        <w:t xml:space="preserve"> riesgos organizacionales en programas de política pública desde cada </w:t>
      </w:r>
      <w:r w:rsidRPr="00E03492" w:rsidR="00B842CE">
        <w:rPr>
          <w:sz w:val="22"/>
          <w:szCs w:val="22"/>
        </w:rPr>
        <w:t>factor</w:t>
      </w:r>
      <w:r w:rsidRPr="00E03492" w:rsidR="0095394B">
        <w:rPr>
          <w:sz w:val="22"/>
          <w:szCs w:val="22"/>
        </w:rPr>
        <w:t xml:space="preserve"> analizad</w:t>
      </w:r>
      <w:r w:rsidRPr="00E03492" w:rsidR="00B842CE">
        <w:rPr>
          <w:sz w:val="22"/>
          <w:szCs w:val="22"/>
        </w:rPr>
        <w:t>o</w:t>
      </w:r>
      <w:r w:rsidRPr="00E03492" w:rsidR="0095394B">
        <w:rPr>
          <w:sz w:val="22"/>
          <w:szCs w:val="22"/>
        </w:rPr>
        <w:t>.</w:t>
      </w:r>
    </w:p>
    <w:p w:rsidRPr="00E03492" w:rsidR="0095394B" w:rsidP="00DC6711" w:rsidRDefault="0095394B" w14:paraId="04CD4B27" w14:textId="22272D72">
      <w:pPr>
        <w:spacing w:line="276" w:lineRule="auto"/>
        <w:jc w:val="both"/>
        <w:rPr>
          <w:sz w:val="22"/>
          <w:szCs w:val="22"/>
        </w:rPr>
      </w:pPr>
      <w:r w:rsidRPr="00E03492">
        <w:rPr>
          <w:sz w:val="22"/>
          <w:szCs w:val="22"/>
        </w:rPr>
        <w:t>La matriz parte de</w:t>
      </w:r>
      <w:r w:rsidRPr="00E03492" w:rsidR="001538E3">
        <w:rPr>
          <w:sz w:val="22"/>
          <w:szCs w:val="22"/>
        </w:rPr>
        <w:t xml:space="preserve"> los componentes revisados </w:t>
      </w:r>
      <w:r w:rsidRPr="00E03492" w:rsidR="00B842CE">
        <w:rPr>
          <w:sz w:val="22"/>
          <w:szCs w:val="22"/>
        </w:rPr>
        <w:t xml:space="preserve">a lo largo de este documento y </w:t>
      </w:r>
      <w:r w:rsidRPr="00E03492" w:rsidR="00D54B1A">
        <w:rPr>
          <w:sz w:val="22"/>
          <w:szCs w:val="22"/>
        </w:rPr>
        <w:t xml:space="preserve">han sido establecidos en la herramienta como las </w:t>
      </w:r>
      <w:r w:rsidRPr="00E03492" w:rsidR="00B842CE">
        <w:rPr>
          <w:sz w:val="22"/>
          <w:szCs w:val="22"/>
        </w:rPr>
        <w:t>dimensiones del</w:t>
      </w:r>
      <w:r w:rsidRPr="00E03492" w:rsidR="003F769E">
        <w:rPr>
          <w:sz w:val="22"/>
          <w:szCs w:val="22"/>
        </w:rPr>
        <w:t xml:space="preserve"> riesgo</w:t>
      </w:r>
      <w:r w:rsidRPr="00E03492" w:rsidR="00C96207">
        <w:rPr>
          <w:sz w:val="22"/>
          <w:szCs w:val="22"/>
        </w:rPr>
        <w:t xml:space="preserve">. Para ello se consideraron las siguientes: </w:t>
      </w:r>
      <w:r w:rsidRPr="00E03492" w:rsidR="00AD7CFE">
        <w:rPr>
          <w:sz w:val="22"/>
          <w:szCs w:val="22"/>
        </w:rPr>
        <w:t xml:space="preserve">estructura organizacional, toma de decisiones, señales tempranas ignoradas, </w:t>
      </w:r>
      <w:r w:rsidRPr="00E03492" w:rsidR="008144B2">
        <w:rPr>
          <w:sz w:val="22"/>
          <w:szCs w:val="22"/>
        </w:rPr>
        <w:t xml:space="preserve">procesos de normalización del riesgo, fallas latentes acumuladas, eventos críticos, gobernanza del programa, niveles de comunicación de fallas, </w:t>
      </w:r>
      <w:r w:rsidRPr="00E03492" w:rsidR="00C83A39">
        <w:rPr>
          <w:sz w:val="22"/>
          <w:szCs w:val="22"/>
        </w:rPr>
        <w:t>direccionamiento estratégico, diseño y formulación del programa, capacidad institucional, implementación, información y legitimidad.</w:t>
      </w:r>
    </w:p>
    <w:p w:rsidR="00A24B26" w:rsidP="00DC6711" w:rsidRDefault="00C83A39" w14:paraId="51B10E86" w14:textId="7A599C4E">
      <w:pPr>
        <w:spacing w:line="276" w:lineRule="auto"/>
        <w:jc w:val="both"/>
        <w:rPr>
          <w:sz w:val="22"/>
          <w:szCs w:val="22"/>
        </w:rPr>
      </w:pPr>
      <w:r w:rsidRPr="00E03492">
        <w:rPr>
          <w:sz w:val="22"/>
          <w:szCs w:val="22"/>
        </w:rPr>
        <w:t xml:space="preserve">Sobre cada una de estas dimensiones se formularon 10 preguntas para indagar sobre la posibilidad de que se puedan presentar riesgos de tipo organizacional. Para este ejercicio se propuso una escala de calificación </w:t>
      </w:r>
      <w:r w:rsidRPr="00E03492" w:rsidR="009D2A81">
        <w:rPr>
          <w:sz w:val="22"/>
          <w:szCs w:val="22"/>
        </w:rPr>
        <w:t xml:space="preserve">tipo </w:t>
      </w:r>
      <w:r w:rsidRPr="00E03492" w:rsidR="002930C2">
        <w:rPr>
          <w:sz w:val="22"/>
          <w:szCs w:val="22"/>
        </w:rPr>
        <w:t xml:space="preserve">Likert de 1 a 5, donde, 1 = Nunca, 2 = casi nunca, 3 = A veces, 4 = Casi siempre y 5 = Siempre. Es importante precisar que </w:t>
      </w:r>
      <w:r w:rsidRPr="00E03492" w:rsidR="0076526B">
        <w:rPr>
          <w:sz w:val="22"/>
          <w:szCs w:val="22"/>
        </w:rPr>
        <w:t>la herramienta es de tipo cualitativo y en tal sentido busca que las personas del equipo de implementación del programa respondan a las preguntas desde su percepción. La escala se propone para facilitar</w:t>
      </w:r>
      <w:r w:rsidRPr="00E03492" w:rsidR="00354B1F">
        <w:rPr>
          <w:sz w:val="22"/>
          <w:szCs w:val="22"/>
        </w:rPr>
        <w:t xml:space="preserve"> el cálculo del nivel de riesgo organizacional a partir de los siguientes rangos: </w:t>
      </w:r>
    </w:p>
    <w:p w:rsidRPr="00E03492" w:rsidR="00070BB4" w:rsidP="00DC6711" w:rsidRDefault="00070BB4" w14:paraId="799431F6" w14:textId="77777777">
      <w:pPr>
        <w:spacing w:line="276" w:lineRule="auto"/>
        <w:jc w:val="both"/>
        <w:rPr>
          <w:sz w:val="22"/>
          <w:szCs w:val="22"/>
        </w:rPr>
      </w:pPr>
    </w:p>
    <w:p w:rsidRPr="00CC1A5B" w:rsidR="00CC1A5B" w:rsidP="00CC1A5B" w:rsidRDefault="00CC1A5B" w14:paraId="44D81F02" w14:textId="7D82F736">
      <w:pPr>
        <w:jc w:val="center"/>
        <w:rPr>
          <w:b/>
          <w:bCs/>
          <w:sz w:val="20"/>
          <w:szCs w:val="20"/>
        </w:rPr>
      </w:pPr>
      <w:r w:rsidRPr="00CC1A5B">
        <w:rPr>
          <w:b/>
          <w:bCs/>
          <w:sz w:val="20"/>
          <w:szCs w:val="20"/>
        </w:rPr>
        <w:t>Tabla 2. Rangos para el nivel de riesgo organizacional</w:t>
      </w:r>
    </w:p>
    <w:tbl>
      <w:tblPr>
        <w:tblW w:w="3420" w:type="pct"/>
        <w:jc w:val="center"/>
        <w:tblCellMar>
          <w:left w:w="70" w:type="dxa"/>
          <w:right w:w="70" w:type="dxa"/>
        </w:tblCellMar>
        <w:tblLook w:val="04A0" w:firstRow="1" w:lastRow="0" w:firstColumn="1" w:lastColumn="0" w:noHBand="0" w:noVBand="1"/>
      </w:tblPr>
      <w:tblGrid>
        <w:gridCol w:w="1263"/>
        <w:gridCol w:w="1855"/>
        <w:gridCol w:w="3114"/>
      </w:tblGrid>
      <w:tr w:rsidRPr="00A24B26" w:rsidR="00833133" w:rsidTr="00833133" w14:paraId="1E65E3E1" w14:textId="77777777">
        <w:trPr>
          <w:trHeight w:val="454"/>
          <w:jc w:val="center"/>
        </w:trPr>
        <w:tc>
          <w:tcPr>
            <w:tcW w:w="1014" w:type="pct"/>
            <w:tcBorders>
              <w:top w:val="single" w:color="auto" w:sz="4" w:space="0"/>
              <w:left w:val="single" w:color="auto" w:sz="4" w:space="0"/>
              <w:bottom w:val="single" w:color="auto" w:sz="4" w:space="0"/>
              <w:right w:val="single" w:color="auto" w:sz="4" w:space="0"/>
            </w:tcBorders>
            <w:shd w:val="clear" w:color="000000" w:fill="D9D9D9"/>
            <w:vAlign w:val="center"/>
            <w:hideMark/>
          </w:tcPr>
          <w:p w:rsidRPr="00A24B26" w:rsidR="00A24B26" w:rsidP="00A24B26" w:rsidRDefault="00A24B26" w14:paraId="3C5994BC" w14:textId="77777777">
            <w:pPr>
              <w:spacing w:after="0" w:line="240" w:lineRule="auto"/>
              <w:jc w:val="center"/>
              <w:rPr>
                <w:rFonts w:ascii="Calibri" w:hAnsi="Calibri" w:eastAsia="Times New Roman" w:cs="Calibri"/>
                <w:b/>
                <w:bCs/>
                <w:color w:val="000000"/>
                <w:kern w:val="0"/>
                <w:sz w:val="18"/>
                <w:szCs w:val="18"/>
                <w:lang w:eastAsia="es-CO"/>
                <w14:ligatures w14:val="none"/>
              </w:rPr>
            </w:pPr>
            <w:r w:rsidRPr="00A24B26">
              <w:rPr>
                <w:rFonts w:ascii="Calibri" w:hAnsi="Calibri" w:eastAsia="Times New Roman" w:cs="Calibri"/>
                <w:b/>
                <w:bCs/>
                <w:color w:val="000000"/>
                <w:kern w:val="0"/>
                <w:sz w:val="18"/>
                <w:szCs w:val="18"/>
                <w:lang w:eastAsia="es-CO"/>
                <w14:ligatures w14:val="none"/>
              </w:rPr>
              <w:t>NÚMERO</w:t>
            </w:r>
          </w:p>
        </w:tc>
        <w:tc>
          <w:tcPr>
            <w:tcW w:w="1488" w:type="pct"/>
            <w:tcBorders>
              <w:top w:val="single" w:color="auto" w:sz="4" w:space="0"/>
              <w:left w:val="nil"/>
              <w:bottom w:val="single" w:color="auto" w:sz="4" w:space="0"/>
              <w:right w:val="single" w:color="auto" w:sz="4" w:space="0"/>
            </w:tcBorders>
            <w:shd w:val="clear" w:color="000000" w:fill="D9D9D9"/>
            <w:vAlign w:val="center"/>
            <w:hideMark/>
          </w:tcPr>
          <w:p w:rsidRPr="00A24B26" w:rsidR="00A24B26" w:rsidP="00A24B26" w:rsidRDefault="00A24B26" w14:paraId="53ABBAB3" w14:textId="77777777">
            <w:pPr>
              <w:spacing w:after="0" w:line="240" w:lineRule="auto"/>
              <w:jc w:val="center"/>
              <w:rPr>
                <w:rFonts w:ascii="Calibri" w:hAnsi="Calibri" w:eastAsia="Times New Roman" w:cs="Calibri"/>
                <w:b/>
                <w:bCs/>
                <w:color w:val="000000"/>
                <w:kern w:val="0"/>
                <w:sz w:val="18"/>
                <w:szCs w:val="18"/>
                <w:lang w:eastAsia="es-CO"/>
                <w14:ligatures w14:val="none"/>
              </w:rPr>
            </w:pPr>
            <w:r w:rsidRPr="00A24B26">
              <w:rPr>
                <w:rFonts w:ascii="Calibri" w:hAnsi="Calibri" w:eastAsia="Times New Roman" w:cs="Calibri"/>
                <w:b/>
                <w:bCs/>
                <w:color w:val="000000"/>
                <w:kern w:val="0"/>
                <w:sz w:val="18"/>
                <w:szCs w:val="18"/>
                <w:lang w:eastAsia="es-CO"/>
                <w14:ligatures w14:val="none"/>
              </w:rPr>
              <w:t>ÍNDICE</w:t>
            </w:r>
          </w:p>
        </w:tc>
        <w:tc>
          <w:tcPr>
            <w:tcW w:w="2498" w:type="pct"/>
            <w:tcBorders>
              <w:top w:val="single" w:color="auto" w:sz="4" w:space="0"/>
              <w:left w:val="nil"/>
              <w:bottom w:val="single" w:color="auto" w:sz="4" w:space="0"/>
              <w:right w:val="single" w:color="auto" w:sz="4" w:space="0"/>
            </w:tcBorders>
            <w:shd w:val="clear" w:color="000000" w:fill="D9D9D9"/>
            <w:vAlign w:val="center"/>
            <w:hideMark/>
          </w:tcPr>
          <w:p w:rsidRPr="00A24B26" w:rsidR="00A24B26" w:rsidP="00A24B26" w:rsidRDefault="00A24B26" w14:paraId="7E264D06" w14:textId="77777777">
            <w:pPr>
              <w:spacing w:after="0" w:line="240" w:lineRule="auto"/>
              <w:jc w:val="center"/>
              <w:rPr>
                <w:rFonts w:ascii="Calibri" w:hAnsi="Calibri" w:eastAsia="Times New Roman" w:cs="Calibri"/>
                <w:b/>
                <w:bCs/>
                <w:color w:val="000000"/>
                <w:kern w:val="0"/>
                <w:sz w:val="18"/>
                <w:szCs w:val="18"/>
                <w:lang w:eastAsia="es-CO"/>
                <w14:ligatures w14:val="none"/>
              </w:rPr>
            </w:pPr>
            <w:r w:rsidRPr="00A24B26">
              <w:rPr>
                <w:rFonts w:ascii="Calibri" w:hAnsi="Calibri" w:eastAsia="Times New Roman" w:cs="Calibri"/>
                <w:b/>
                <w:bCs/>
                <w:color w:val="000000"/>
                <w:kern w:val="0"/>
                <w:sz w:val="18"/>
                <w:szCs w:val="18"/>
                <w:lang w:eastAsia="es-CO"/>
                <w14:ligatures w14:val="none"/>
              </w:rPr>
              <w:t>NIVEL DE RIESGO ORGANIZACIONAL</w:t>
            </w:r>
          </w:p>
        </w:tc>
      </w:tr>
      <w:tr w:rsidRPr="00A24B26" w:rsidR="00833133" w:rsidTr="00833133" w14:paraId="4C9EE60C" w14:textId="77777777">
        <w:trPr>
          <w:trHeight w:val="360"/>
          <w:jc w:val="center"/>
        </w:trPr>
        <w:tc>
          <w:tcPr>
            <w:tcW w:w="1014" w:type="pct"/>
            <w:tcBorders>
              <w:top w:val="nil"/>
              <w:left w:val="single" w:color="auto" w:sz="4" w:space="0"/>
              <w:bottom w:val="single" w:color="auto" w:sz="4" w:space="0"/>
              <w:right w:val="single" w:color="auto" w:sz="4" w:space="0"/>
            </w:tcBorders>
            <w:vAlign w:val="center"/>
            <w:hideMark/>
          </w:tcPr>
          <w:p w:rsidRPr="00A24B26" w:rsidR="00A24B26" w:rsidP="00A24B26" w:rsidRDefault="00A24B26" w14:paraId="45E3FC97"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1</w:t>
            </w:r>
          </w:p>
        </w:tc>
        <w:tc>
          <w:tcPr>
            <w:tcW w:w="1488" w:type="pct"/>
            <w:tcBorders>
              <w:top w:val="nil"/>
              <w:left w:val="nil"/>
              <w:bottom w:val="single" w:color="auto" w:sz="4" w:space="0"/>
              <w:right w:val="single" w:color="auto" w:sz="4" w:space="0"/>
            </w:tcBorders>
            <w:vAlign w:val="center"/>
            <w:hideMark/>
          </w:tcPr>
          <w:p w:rsidRPr="00A24B26" w:rsidR="00A24B26" w:rsidP="00833133" w:rsidRDefault="00A24B26" w14:paraId="565DFC21"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1.0 – 1.9</w:t>
            </w:r>
          </w:p>
        </w:tc>
        <w:tc>
          <w:tcPr>
            <w:tcW w:w="2498" w:type="pct"/>
            <w:tcBorders>
              <w:top w:val="nil"/>
              <w:left w:val="nil"/>
              <w:bottom w:val="single" w:color="auto" w:sz="4" w:space="0"/>
              <w:right w:val="single" w:color="auto" w:sz="4" w:space="0"/>
            </w:tcBorders>
            <w:vAlign w:val="center"/>
            <w:hideMark/>
          </w:tcPr>
          <w:p w:rsidRPr="00A24B26" w:rsidR="00A24B26" w:rsidP="00833133" w:rsidRDefault="00A24B26" w14:paraId="6E9E5E91"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Muy bajo</w:t>
            </w:r>
          </w:p>
        </w:tc>
      </w:tr>
      <w:tr w:rsidRPr="00A24B26" w:rsidR="00833133" w:rsidTr="00833133" w14:paraId="087E79DB" w14:textId="77777777">
        <w:trPr>
          <w:trHeight w:val="360"/>
          <w:jc w:val="center"/>
        </w:trPr>
        <w:tc>
          <w:tcPr>
            <w:tcW w:w="1014" w:type="pct"/>
            <w:tcBorders>
              <w:top w:val="nil"/>
              <w:left w:val="single" w:color="auto" w:sz="4" w:space="0"/>
              <w:bottom w:val="single" w:color="auto" w:sz="4" w:space="0"/>
              <w:right w:val="single" w:color="auto" w:sz="4" w:space="0"/>
            </w:tcBorders>
            <w:vAlign w:val="center"/>
            <w:hideMark/>
          </w:tcPr>
          <w:p w:rsidRPr="00A24B26" w:rsidR="00A24B26" w:rsidP="00A24B26" w:rsidRDefault="00A24B26" w14:paraId="06EC407E"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2</w:t>
            </w:r>
          </w:p>
        </w:tc>
        <w:tc>
          <w:tcPr>
            <w:tcW w:w="1488" w:type="pct"/>
            <w:tcBorders>
              <w:top w:val="nil"/>
              <w:left w:val="nil"/>
              <w:bottom w:val="single" w:color="auto" w:sz="4" w:space="0"/>
              <w:right w:val="single" w:color="auto" w:sz="4" w:space="0"/>
            </w:tcBorders>
            <w:vAlign w:val="center"/>
            <w:hideMark/>
          </w:tcPr>
          <w:p w:rsidRPr="00A24B26" w:rsidR="00A24B26" w:rsidP="00833133" w:rsidRDefault="00A24B26" w14:paraId="3072C4FE"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2.0 – 2.9</w:t>
            </w:r>
          </w:p>
        </w:tc>
        <w:tc>
          <w:tcPr>
            <w:tcW w:w="2498" w:type="pct"/>
            <w:tcBorders>
              <w:top w:val="nil"/>
              <w:left w:val="nil"/>
              <w:bottom w:val="single" w:color="auto" w:sz="4" w:space="0"/>
              <w:right w:val="single" w:color="auto" w:sz="4" w:space="0"/>
            </w:tcBorders>
            <w:vAlign w:val="center"/>
            <w:hideMark/>
          </w:tcPr>
          <w:p w:rsidRPr="00A24B26" w:rsidR="00A24B26" w:rsidP="00833133" w:rsidRDefault="00A24B26" w14:paraId="3DFC05FC"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Bajo</w:t>
            </w:r>
          </w:p>
        </w:tc>
      </w:tr>
      <w:tr w:rsidRPr="00A24B26" w:rsidR="00833133" w:rsidTr="00833133" w14:paraId="29FCB9B9" w14:textId="77777777">
        <w:trPr>
          <w:trHeight w:val="360"/>
          <w:jc w:val="center"/>
        </w:trPr>
        <w:tc>
          <w:tcPr>
            <w:tcW w:w="1014" w:type="pct"/>
            <w:tcBorders>
              <w:top w:val="nil"/>
              <w:left w:val="single" w:color="auto" w:sz="4" w:space="0"/>
              <w:bottom w:val="single" w:color="auto" w:sz="4" w:space="0"/>
              <w:right w:val="single" w:color="auto" w:sz="4" w:space="0"/>
            </w:tcBorders>
            <w:vAlign w:val="center"/>
            <w:hideMark/>
          </w:tcPr>
          <w:p w:rsidRPr="00A24B26" w:rsidR="00A24B26" w:rsidP="00A24B26" w:rsidRDefault="00A24B26" w14:paraId="771569D9"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3</w:t>
            </w:r>
          </w:p>
        </w:tc>
        <w:tc>
          <w:tcPr>
            <w:tcW w:w="1488" w:type="pct"/>
            <w:tcBorders>
              <w:top w:val="nil"/>
              <w:left w:val="nil"/>
              <w:bottom w:val="single" w:color="auto" w:sz="4" w:space="0"/>
              <w:right w:val="single" w:color="auto" w:sz="4" w:space="0"/>
            </w:tcBorders>
            <w:vAlign w:val="center"/>
            <w:hideMark/>
          </w:tcPr>
          <w:p w:rsidRPr="00A24B26" w:rsidR="00A24B26" w:rsidP="00833133" w:rsidRDefault="00A24B26" w14:paraId="0B8A98E1"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3.0 – 3.4</w:t>
            </w:r>
          </w:p>
        </w:tc>
        <w:tc>
          <w:tcPr>
            <w:tcW w:w="2498" w:type="pct"/>
            <w:tcBorders>
              <w:top w:val="nil"/>
              <w:left w:val="nil"/>
              <w:bottom w:val="single" w:color="auto" w:sz="4" w:space="0"/>
              <w:right w:val="single" w:color="auto" w:sz="4" w:space="0"/>
            </w:tcBorders>
            <w:vAlign w:val="center"/>
            <w:hideMark/>
          </w:tcPr>
          <w:p w:rsidRPr="00A24B26" w:rsidR="00A24B26" w:rsidP="00833133" w:rsidRDefault="00A24B26" w14:paraId="5F17AAB5"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Medio</w:t>
            </w:r>
          </w:p>
        </w:tc>
      </w:tr>
      <w:tr w:rsidRPr="00A24B26" w:rsidR="00833133" w:rsidTr="00833133" w14:paraId="706E9590" w14:textId="77777777">
        <w:trPr>
          <w:trHeight w:val="360"/>
          <w:jc w:val="center"/>
        </w:trPr>
        <w:tc>
          <w:tcPr>
            <w:tcW w:w="1014" w:type="pct"/>
            <w:tcBorders>
              <w:top w:val="nil"/>
              <w:left w:val="single" w:color="auto" w:sz="4" w:space="0"/>
              <w:bottom w:val="single" w:color="auto" w:sz="4" w:space="0"/>
              <w:right w:val="single" w:color="auto" w:sz="4" w:space="0"/>
            </w:tcBorders>
            <w:vAlign w:val="center"/>
            <w:hideMark/>
          </w:tcPr>
          <w:p w:rsidRPr="00A24B26" w:rsidR="00A24B26" w:rsidP="00A24B26" w:rsidRDefault="00A24B26" w14:paraId="5F6DAB1F"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4</w:t>
            </w:r>
          </w:p>
        </w:tc>
        <w:tc>
          <w:tcPr>
            <w:tcW w:w="1488" w:type="pct"/>
            <w:tcBorders>
              <w:top w:val="nil"/>
              <w:left w:val="nil"/>
              <w:bottom w:val="single" w:color="auto" w:sz="4" w:space="0"/>
              <w:right w:val="single" w:color="auto" w:sz="4" w:space="0"/>
            </w:tcBorders>
            <w:vAlign w:val="center"/>
            <w:hideMark/>
          </w:tcPr>
          <w:p w:rsidRPr="00A24B26" w:rsidR="00A24B26" w:rsidP="00833133" w:rsidRDefault="00A24B26" w14:paraId="0D4AB7F4"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3.5 – 4.2</w:t>
            </w:r>
          </w:p>
        </w:tc>
        <w:tc>
          <w:tcPr>
            <w:tcW w:w="2498" w:type="pct"/>
            <w:tcBorders>
              <w:top w:val="nil"/>
              <w:left w:val="nil"/>
              <w:bottom w:val="single" w:color="auto" w:sz="4" w:space="0"/>
              <w:right w:val="single" w:color="auto" w:sz="4" w:space="0"/>
            </w:tcBorders>
            <w:vAlign w:val="center"/>
            <w:hideMark/>
          </w:tcPr>
          <w:p w:rsidRPr="00A24B26" w:rsidR="00A24B26" w:rsidP="00833133" w:rsidRDefault="00A24B26" w14:paraId="067FD081"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Alto</w:t>
            </w:r>
          </w:p>
        </w:tc>
      </w:tr>
      <w:tr w:rsidRPr="00A24B26" w:rsidR="00833133" w:rsidTr="00833133" w14:paraId="4150F7F7" w14:textId="77777777">
        <w:trPr>
          <w:trHeight w:val="360"/>
          <w:jc w:val="center"/>
        </w:trPr>
        <w:tc>
          <w:tcPr>
            <w:tcW w:w="1014" w:type="pct"/>
            <w:tcBorders>
              <w:top w:val="nil"/>
              <w:left w:val="single" w:color="auto" w:sz="4" w:space="0"/>
              <w:bottom w:val="single" w:color="auto" w:sz="4" w:space="0"/>
              <w:right w:val="single" w:color="auto" w:sz="4" w:space="0"/>
            </w:tcBorders>
            <w:vAlign w:val="center"/>
            <w:hideMark/>
          </w:tcPr>
          <w:p w:rsidRPr="00A24B26" w:rsidR="00A24B26" w:rsidP="00A24B26" w:rsidRDefault="00A24B26" w14:paraId="5D6CB810"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5</w:t>
            </w:r>
          </w:p>
        </w:tc>
        <w:tc>
          <w:tcPr>
            <w:tcW w:w="1488" w:type="pct"/>
            <w:tcBorders>
              <w:top w:val="nil"/>
              <w:left w:val="nil"/>
              <w:bottom w:val="single" w:color="auto" w:sz="4" w:space="0"/>
              <w:right w:val="single" w:color="auto" w:sz="4" w:space="0"/>
            </w:tcBorders>
            <w:vAlign w:val="center"/>
            <w:hideMark/>
          </w:tcPr>
          <w:p w:rsidRPr="00A24B26" w:rsidR="00A24B26" w:rsidP="00833133" w:rsidRDefault="00A24B26" w14:paraId="2EDE164E"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4.3 – 5.0</w:t>
            </w:r>
          </w:p>
        </w:tc>
        <w:tc>
          <w:tcPr>
            <w:tcW w:w="2498" w:type="pct"/>
            <w:tcBorders>
              <w:top w:val="nil"/>
              <w:left w:val="nil"/>
              <w:bottom w:val="single" w:color="auto" w:sz="4" w:space="0"/>
              <w:right w:val="single" w:color="auto" w:sz="4" w:space="0"/>
            </w:tcBorders>
            <w:vAlign w:val="center"/>
            <w:hideMark/>
          </w:tcPr>
          <w:p w:rsidRPr="00A24B26" w:rsidR="00A24B26" w:rsidP="00833133" w:rsidRDefault="00A24B26" w14:paraId="190A75AC" w14:textId="77777777">
            <w:pPr>
              <w:spacing w:after="0" w:line="240" w:lineRule="auto"/>
              <w:jc w:val="center"/>
              <w:rPr>
                <w:rFonts w:ascii="Calibri" w:hAnsi="Calibri" w:eastAsia="Times New Roman" w:cs="Calibri"/>
                <w:color w:val="000000"/>
                <w:kern w:val="0"/>
                <w:sz w:val="18"/>
                <w:szCs w:val="18"/>
                <w:lang w:eastAsia="es-CO"/>
                <w14:ligatures w14:val="none"/>
              </w:rPr>
            </w:pPr>
            <w:r w:rsidRPr="00A24B26">
              <w:rPr>
                <w:rFonts w:ascii="Calibri" w:hAnsi="Calibri" w:eastAsia="Times New Roman" w:cs="Calibri"/>
                <w:color w:val="000000"/>
                <w:kern w:val="0"/>
                <w:sz w:val="18"/>
                <w:szCs w:val="18"/>
                <w:lang w:eastAsia="es-CO"/>
                <w14:ligatures w14:val="none"/>
              </w:rPr>
              <w:t>Crítico</w:t>
            </w:r>
          </w:p>
        </w:tc>
      </w:tr>
    </w:tbl>
    <w:p w:rsidR="00354B1F" w:rsidP="00450F7B" w:rsidRDefault="00354B1F" w14:paraId="22E1A603" w14:textId="77777777">
      <w:pPr>
        <w:jc w:val="both"/>
      </w:pPr>
    </w:p>
    <w:p w:rsidRPr="00E03492" w:rsidR="003220D0" w:rsidP="00DC6711" w:rsidRDefault="00DB3C0E" w14:paraId="1C445B18" w14:textId="77777777">
      <w:pPr>
        <w:spacing w:line="276" w:lineRule="auto"/>
        <w:jc w:val="both"/>
        <w:rPr>
          <w:sz w:val="22"/>
          <w:szCs w:val="22"/>
        </w:rPr>
      </w:pPr>
      <w:r w:rsidRPr="00E03492">
        <w:rPr>
          <w:sz w:val="22"/>
          <w:szCs w:val="22"/>
        </w:rPr>
        <w:t>Una vez se obtienen la totalidad de las respuestas, la herramienta calcula de forma automática la calificación por cada dimensión que es el resultado del promedio de todas las respuestas en es</w:t>
      </w:r>
      <w:r w:rsidRPr="00E03492" w:rsidR="009D017B">
        <w:rPr>
          <w:sz w:val="22"/>
          <w:szCs w:val="22"/>
        </w:rPr>
        <w:t>e factor y el nivel de riesgo organizacional</w:t>
      </w:r>
      <w:r w:rsidRPr="00E03492" w:rsidR="003220D0">
        <w:rPr>
          <w:sz w:val="22"/>
          <w:szCs w:val="22"/>
        </w:rPr>
        <w:t xml:space="preserve"> de acuerdo con los descriptores de la Tabla 2. </w:t>
      </w:r>
    </w:p>
    <w:p w:rsidRPr="00E03492" w:rsidR="007778DB" w:rsidP="00DC6711" w:rsidRDefault="007778DB" w14:paraId="122B42F7" w14:textId="20E7B8BE">
      <w:pPr>
        <w:spacing w:line="276" w:lineRule="auto"/>
        <w:jc w:val="both"/>
        <w:rPr>
          <w:sz w:val="22"/>
          <w:szCs w:val="22"/>
        </w:rPr>
      </w:pPr>
      <w:r w:rsidRPr="00E03492">
        <w:rPr>
          <w:sz w:val="22"/>
          <w:szCs w:val="22"/>
        </w:rPr>
        <w:t>Posteriormente la herramienta permite que de acuerdo con el nivel de riesgo organizacional (que para este momento es potencial), el equipo redacte</w:t>
      </w:r>
      <w:r w:rsidRPr="00E03492" w:rsidR="004B138F">
        <w:rPr>
          <w:sz w:val="22"/>
          <w:szCs w:val="22"/>
        </w:rPr>
        <w:t xml:space="preserve"> los riesgos que se podrían materializar, sus causas y consecuencias</w:t>
      </w:r>
      <w:r w:rsidRPr="00E03492" w:rsidR="00546E45">
        <w:rPr>
          <w:sz w:val="22"/>
          <w:szCs w:val="22"/>
        </w:rPr>
        <w:t xml:space="preserve">. Asimismo, el riesgo identificado se debe clasificar de acuerdo </w:t>
      </w:r>
      <w:r w:rsidRPr="00E03492" w:rsidR="0041763C">
        <w:rPr>
          <w:sz w:val="22"/>
          <w:szCs w:val="22"/>
        </w:rPr>
        <w:t xml:space="preserve">con la tipología descrita en </w:t>
      </w:r>
      <w:r w:rsidRPr="00E03492" w:rsidR="00E17A3D">
        <w:rPr>
          <w:sz w:val="22"/>
          <w:szCs w:val="22"/>
        </w:rPr>
        <w:t>el análisis de los casos internacionales revisados.</w:t>
      </w:r>
    </w:p>
    <w:p w:rsidR="00305802" w:rsidP="00DC6711" w:rsidRDefault="00E17A3D" w14:paraId="6B599E5A" w14:textId="4933F6BD">
      <w:pPr>
        <w:spacing w:line="276" w:lineRule="auto"/>
        <w:jc w:val="both"/>
        <w:rPr>
          <w:sz w:val="22"/>
          <w:szCs w:val="22"/>
        </w:rPr>
      </w:pPr>
      <w:r w:rsidRPr="3DE34E86" w:rsidR="00E17A3D">
        <w:rPr>
          <w:sz w:val="22"/>
          <w:szCs w:val="22"/>
        </w:rPr>
        <w:t xml:space="preserve">De igual forma, </w:t>
      </w:r>
      <w:r w:rsidRPr="3DE34E86" w:rsidR="00B70E5F">
        <w:rPr>
          <w:sz w:val="22"/>
          <w:szCs w:val="22"/>
        </w:rPr>
        <w:t xml:space="preserve">la matriz cualitativa </w:t>
      </w:r>
      <w:r w:rsidRPr="3DE34E86" w:rsidR="00BF1606">
        <w:rPr>
          <w:sz w:val="22"/>
          <w:szCs w:val="22"/>
        </w:rPr>
        <w:t xml:space="preserve">permite que se identifique si existe o no un control para el riesgo identificado, si se aplica o no y si se debe formular uno nuevo. </w:t>
      </w:r>
      <w:r w:rsidRPr="3DE34E86" w:rsidR="004A2207">
        <w:rPr>
          <w:sz w:val="22"/>
          <w:szCs w:val="22"/>
        </w:rPr>
        <w:t xml:space="preserve">Seguidamente y para efectos de seguimiento la herramienta dispone de campos para que el equipo de proyecto indique el nombre de la persona responsable de aplicar el control, la periodicidad de aplicación, </w:t>
      </w:r>
      <w:r w:rsidRPr="3DE34E86" w:rsidR="00193171">
        <w:rPr>
          <w:sz w:val="22"/>
          <w:szCs w:val="22"/>
        </w:rPr>
        <w:t>la descripción de las evidencias que darán cuenta de</w:t>
      </w:r>
      <w:r w:rsidRPr="3DE34E86" w:rsidR="00305802">
        <w:rPr>
          <w:sz w:val="22"/>
          <w:szCs w:val="22"/>
        </w:rPr>
        <w:t xml:space="preserve"> </w:t>
      </w:r>
      <w:r w:rsidRPr="3DE34E86" w:rsidR="00193171">
        <w:rPr>
          <w:sz w:val="22"/>
          <w:szCs w:val="22"/>
        </w:rPr>
        <w:t xml:space="preserve">la aplicación efectiva </w:t>
      </w:r>
      <w:r w:rsidRPr="3DE34E86" w:rsidR="00305802">
        <w:rPr>
          <w:sz w:val="22"/>
          <w:szCs w:val="22"/>
        </w:rPr>
        <w:t xml:space="preserve">y oportuna </w:t>
      </w:r>
      <w:r w:rsidRPr="3DE34E86" w:rsidR="00193171">
        <w:rPr>
          <w:sz w:val="22"/>
          <w:szCs w:val="22"/>
        </w:rPr>
        <w:t xml:space="preserve">del control, </w:t>
      </w:r>
      <w:r w:rsidRPr="3DE34E86" w:rsidR="00305802">
        <w:rPr>
          <w:sz w:val="22"/>
          <w:szCs w:val="22"/>
        </w:rPr>
        <w:t xml:space="preserve">las observaciones de seguimiento y las acciones de mejora que con necesarias para fortalecer la implementación del programa al tiempo que se mitiga la materialización de los riesgos identificados. </w:t>
      </w:r>
    </w:p>
    <w:p w:rsidR="3DE34E86" w:rsidP="3DE34E86" w:rsidRDefault="3DE34E86" w14:paraId="77CEB826" w14:textId="5D3C3E7E">
      <w:pPr>
        <w:spacing w:line="276" w:lineRule="auto"/>
        <w:jc w:val="both"/>
        <w:rPr>
          <w:sz w:val="22"/>
          <w:szCs w:val="22"/>
        </w:rPr>
      </w:pPr>
    </w:p>
    <w:p w:rsidR="009A06FB" w:rsidP="00C677C8" w:rsidRDefault="000C593E" w14:paraId="03A1C143" w14:textId="666A8808">
      <w:pPr>
        <w:pStyle w:val="Ttulo1"/>
        <w:numPr>
          <w:ilvl w:val="0"/>
          <w:numId w:val="32"/>
        </w:numPr>
        <w:jc w:val="center"/>
        <w:rPr>
          <w:rFonts w:asciiTheme="minorHAnsi" w:hAnsiTheme="minorHAnsi"/>
          <w:b/>
          <w:bCs/>
          <w:color w:val="auto"/>
          <w:sz w:val="24"/>
          <w:szCs w:val="24"/>
        </w:rPr>
      </w:pPr>
      <w:bookmarkStart w:name="_Toc225160624" w:id="29"/>
      <w:r w:rsidRPr="00AC0219">
        <w:rPr>
          <w:rFonts w:asciiTheme="minorHAnsi" w:hAnsiTheme="minorHAnsi"/>
          <w:b/>
          <w:bCs/>
          <w:color w:val="auto"/>
          <w:sz w:val="24"/>
          <w:szCs w:val="24"/>
        </w:rPr>
        <w:t>INDICADORES</w:t>
      </w:r>
      <w:r>
        <w:rPr>
          <w:rFonts w:asciiTheme="minorHAnsi" w:hAnsiTheme="minorHAnsi"/>
          <w:b/>
          <w:bCs/>
          <w:color w:val="auto"/>
          <w:sz w:val="24"/>
          <w:szCs w:val="24"/>
        </w:rPr>
        <w:t xml:space="preserve"> PREVENTIVOS</w:t>
      </w:r>
      <w:bookmarkEnd w:id="29"/>
      <w:r w:rsidR="006707C2">
        <w:rPr>
          <w:rFonts w:asciiTheme="minorHAnsi" w:hAnsiTheme="minorHAnsi"/>
          <w:b/>
          <w:bCs/>
          <w:color w:val="auto"/>
          <w:sz w:val="24"/>
          <w:szCs w:val="24"/>
        </w:rPr>
        <w:t xml:space="preserve"> </w:t>
      </w:r>
    </w:p>
    <w:p w:rsidRPr="00AC0219" w:rsidR="009A06FB" w:rsidP="009A06FB" w:rsidRDefault="009A06FB" w14:paraId="63707417" w14:textId="0B0E3BBE"/>
    <w:p w:rsidR="3269FA27" w:rsidP="0E9AD074" w:rsidRDefault="3269FA27" w14:paraId="6280138D" w14:textId="5263CF18">
      <w:pPr>
        <w:spacing w:after="0"/>
        <w:jc w:val="both"/>
      </w:pPr>
      <w:r w:rsidRPr="0E9AD074">
        <w:rPr>
          <w:rFonts w:ascii="Aptos" w:hAnsi="Aptos" w:eastAsia="Aptos" w:cs="Aptos"/>
          <w:sz w:val="22"/>
          <w:szCs w:val="22"/>
        </w:rPr>
        <w:t>En el marco de la gestión del riesgo organizacional en el sector público, los indicadores preventivos constituyen herramientas analíticas orientadas a detectar señales tempranas de vulnerabilidad institucional antes de que los riesgos se materialicen en crisis administrativas, fallas operativas o desvíos en la implementación de políticas públicas. A diferencia de los indicadores reactivos, que se enfocan en medir eventos sucedidos, los indicadores preventivos permiten identificar tendencias, comportamientos organizacionales y variables críticas que incrementan la probabilidad de materialización del riesgo.</w:t>
      </w:r>
    </w:p>
    <w:p w:rsidR="00935E7E" w:rsidP="009C5EFA" w:rsidRDefault="3269FA27" w14:paraId="77B4B919" w14:textId="77777777">
      <w:pPr>
        <w:spacing w:after="0"/>
        <w:jc w:val="both"/>
      </w:pPr>
      <w:r w:rsidRPr="0E9AD074">
        <w:rPr>
          <w:rFonts w:ascii="Aptos" w:hAnsi="Aptos" w:eastAsia="Aptos" w:cs="Aptos"/>
          <w:sz w:val="22"/>
          <w:szCs w:val="22"/>
        </w:rPr>
        <w:t xml:space="preserve"> </w:t>
      </w:r>
    </w:p>
    <w:p w:rsidR="3269FA27" w:rsidP="009C5EFA" w:rsidRDefault="3269FA27" w14:paraId="58CF1889" w14:textId="7A8FBF8F">
      <w:pPr>
        <w:spacing w:after="0"/>
        <w:jc w:val="both"/>
      </w:pPr>
      <w:r w:rsidRPr="0E9AD074">
        <w:rPr>
          <w:rFonts w:ascii="Aptos" w:hAnsi="Aptos" w:eastAsia="Aptos" w:cs="Aptos"/>
          <w:sz w:val="22"/>
          <w:szCs w:val="22"/>
        </w:rPr>
        <w:t>En la administración pública, estos indicadores preventivos sirven para mejorar la toma de decisiones, desviaciones tempranas, fortalecer la gobernanza y hacer seguimiento al desempeño institucional. Además, se alinean con enfoques contemporáneos como COSO ERM, la ISO 31000 gestión del riesgo y el Modelo Integrado de Planeación y Gestión (MIPG) implementados en Colombia.</w:t>
      </w:r>
      <w:r w:rsidRPr="36ED19EF" w:rsidR="2B4FD399">
        <w:rPr>
          <w:rFonts w:ascii="Aptos" w:hAnsi="Aptos" w:eastAsia="Aptos" w:cs="Aptos"/>
          <w:sz w:val="22"/>
          <w:szCs w:val="22"/>
        </w:rPr>
        <w:t xml:space="preserve"> </w:t>
      </w:r>
      <w:r w:rsidRPr="009C5EFA" w:rsidR="2B4FD399">
        <w:rPr>
          <w:rFonts w:ascii="Aptos" w:hAnsi="Aptos" w:eastAsia="Aptos" w:cs="Aptos"/>
          <w:sz w:val="22"/>
          <w:szCs w:val="22"/>
        </w:rPr>
        <w:t>(COSO, 2017; ISO, 2018; Departamento Administrativo de la Función Pública, 2020).</w:t>
      </w:r>
    </w:p>
    <w:p w:rsidR="3269FA27" w:rsidP="0E9AD074" w:rsidRDefault="3269FA27" w14:paraId="02659FB5" w14:textId="7F8227F2">
      <w:pPr>
        <w:spacing w:before="240" w:after="240"/>
        <w:jc w:val="both"/>
      </w:pPr>
      <w:r w:rsidRPr="0E9AD074">
        <w:rPr>
          <w:rFonts w:ascii="Aptos" w:hAnsi="Aptos" w:eastAsia="Aptos" w:cs="Aptos"/>
          <w:sz w:val="22"/>
          <w:szCs w:val="22"/>
        </w:rPr>
        <w:t>De esta forma, estos indicadores permiten identificar debilidades organizacionales como fallas en la coordinación, problemas en el manejo de la información o limitaciones en la capacidad institucional, las cuales pueden afectar la ejecución de políticas públicas.</w:t>
      </w:r>
    </w:p>
    <w:p w:rsidR="3269FA27" w:rsidP="0E9AD074" w:rsidRDefault="3269FA27" w14:paraId="163E3BCD" w14:textId="1D067F7F">
      <w:pPr>
        <w:spacing w:before="240" w:after="240"/>
        <w:jc w:val="both"/>
      </w:pPr>
      <w:r w:rsidRPr="0E9AD074">
        <w:rPr>
          <w:rFonts w:ascii="Aptos" w:hAnsi="Aptos" w:eastAsia="Aptos" w:cs="Aptos"/>
          <w:sz w:val="22"/>
          <w:szCs w:val="22"/>
        </w:rPr>
        <w:t>Por otra parte, los indicadores preventivos están directamente relacionados con la tipología de riesgos organizacionales, ya que mientras esta permite clasificar los riesgos desde un enfoque conceptual, los indicadores facilitan su seguimiento a través de mediciones concretas. De esta manera, se logra una articulación entre el análisis teórico y la gestión práctica del riesgo.</w:t>
      </w:r>
    </w:p>
    <w:p w:rsidRPr="00046F45" w:rsidR="7ACB3E98" w:rsidP="00046F45" w:rsidRDefault="3269FA27" w14:paraId="007D4FC1" w14:textId="1AF38B2F">
      <w:pPr>
        <w:spacing w:before="240" w:after="240"/>
        <w:jc w:val="both"/>
      </w:pPr>
      <w:r w:rsidRPr="0E9AD074">
        <w:rPr>
          <w:rFonts w:ascii="Aptos" w:hAnsi="Aptos" w:eastAsia="Aptos" w:cs="Aptos"/>
          <w:sz w:val="22"/>
          <w:szCs w:val="22"/>
        </w:rPr>
        <w:t>En este sentido, su integración contribuye a que las entidades públicas puedan anticipar problemáticas institucionales que afecten su funcionamiento, optimizar sus procesos y toma de decisiones para garantizar una gestión más eficiente, transparente y orientada a resultados.</w:t>
      </w:r>
      <w:r w:rsidR="0086007B">
        <w:rPr>
          <w:rFonts w:ascii="Aptos" w:hAnsi="Aptos" w:eastAsia="Aptos" w:cs="Aptos"/>
          <w:sz w:val="22"/>
          <w:szCs w:val="22"/>
        </w:rPr>
        <w:t xml:space="preserve"> A </w:t>
      </w:r>
      <w:r w:rsidR="00046F45">
        <w:rPr>
          <w:rFonts w:ascii="Aptos" w:hAnsi="Aptos" w:eastAsia="Aptos" w:cs="Aptos"/>
          <w:sz w:val="22"/>
          <w:szCs w:val="22"/>
        </w:rPr>
        <w:t>continuación,</w:t>
      </w:r>
      <w:r w:rsidR="0086007B">
        <w:rPr>
          <w:rFonts w:ascii="Aptos" w:hAnsi="Aptos" w:eastAsia="Aptos" w:cs="Aptos"/>
          <w:sz w:val="22"/>
          <w:szCs w:val="22"/>
        </w:rPr>
        <w:t xml:space="preserve"> se presenta una propuesta de indicadores preventivos</w:t>
      </w:r>
      <w:r w:rsidR="0073103E">
        <w:rPr>
          <w:rFonts w:ascii="Aptos" w:hAnsi="Aptos" w:eastAsia="Aptos" w:cs="Aptos"/>
          <w:sz w:val="22"/>
          <w:szCs w:val="22"/>
        </w:rPr>
        <w:t xml:space="preserve"> en el marco de programas de política pública:</w:t>
      </w:r>
    </w:p>
    <w:p w:rsidRPr="00046F45" w:rsidR="7ACB3E98" w:rsidP="00046F45" w:rsidRDefault="00046F45" w14:paraId="17D7C5F5" w14:textId="503476CE">
      <w:pPr>
        <w:jc w:val="center"/>
        <w:rPr>
          <w:rFonts w:eastAsiaTheme="minorEastAsia"/>
          <w:b/>
          <w:bCs/>
          <w:sz w:val="22"/>
          <w:szCs w:val="22"/>
        </w:rPr>
      </w:pPr>
      <w:r>
        <w:rPr>
          <w:rFonts w:eastAsiaTheme="minorEastAsia"/>
          <w:b/>
          <w:bCs/>
          <w:sz w:val="22"/>
          <w:szCs w:val="22"/>
        </w:rPr>
        <w:t>3.</w:t>
      </w:r>
      <w:r w:rsidRPr="7ACB3E98" w:rsidR="236EAC7B">
        <w:rPr>
          <w:rFonts w:eastAsiaTheme="minorEastAsia"/>
          <w:b/>
          <w:bCs/>
          <w:sz w:val="22"/>
          <w:szCs w:val="22"/>
        </w:rPr>
        <w:t xml:space="preserve"> </w:t>
      </w:r>
      <w:r w:rsidRPr="7ACB3E98">
        <w:rPr>
          <w:rFonts w:eastAsiaTheme="minorEastAsia"/>
          <w:b/>
          <w:bCs/>
          <w:sz w:val="22"/>
          <w:szCs w:val="22"/>
        </w:rPr>
        <w:t>Tabla de indicadores preventivos para entidades p</w:t>
      </w:r>
      <w:r>
        <w:rPr>
          <w:rFonts w:eastAsiaTheme="minorEastAsia"/>
          <w:b/>
          <w:bCs/>
          <w:sz w:val="22"/>
          <w:szCs w:val="22"/>
        </w:rPr>
        <w:t>ú</w:t>
      </w:r>
      <w:r w:rsidRPr="7ACB3E98">
        <w:rPr>
          <w:rFonts w:eastAsiaTheme="minorEastAsia"/>
          <w:b/>
          <w:bCs/>
          <w:sz w:val="22"/>
          <w:szCs w:val="22"/>
        </w:rPr>
        <w:t>blicas</w:t>
      </w:r>
    </w:p>
    <w:tbl>
      <w:tblPr>
        <w:tblStyle w:val="Tablaconcuadrcula"/>
        <w:tblW w:w="8969" w:type="dxa"/>
        <w:tblInd w:w="132" w:type="dxa"/>
        <w:tblLayout w:type="fixed"/>
        <w:tblLook w:val="04A0" w:firstRow="1" w:lastRow="0" w:firstColumn="1" w:lastColumn="0" w:noHBand="0" w:noVBand="1"/>
      </w:tblPr>
      <w:tblGrid>
        <w:gridCol w:w="1276"/>
        <w:gridCol w:w="1559"/>
        <w:gridCol w:w="1992"/>
        <w:gridCol w:w="1479"/>
        <w:gridCol w:w="1413"/>
        <w:gridCol w:w="1250"/>
      </w:tblGrid>
      <w:tr w:rsidRPr="00427423" w:rsidR="7ACB3E98" w:rsidTr="001F7A5B" w14:paraId="5067758D" w14:textId="77777777">
        <w:trPr>
          <w:trHeight w:val="300"/>
          <w:tblHeader/>
        </w:trPr>
        <w:tc>
          <w:tcPr>
            <w:tcW w:w="1276"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0C1EABCE" w14:textId="4FFBBC07">
            <w:pPr>
              <w:jc w:val="center"/>
              <w:rPr>
                <w:rFonts w:eastAsiaTheme="minorEastAsia"/>
                <w:b/>
                <w:bCs/>
                <w:color w:val="000000" w:themeColor="text1"/>
                <w:sz w:val="16"/>
                <w:szCs w:val="16"/>
              </w:rPr>
            </w:pPr>
            <w:r w:rsidRPr="001F7A5B">
              <w:rPr>
                <w:rFonts w:eastAsiaTheme="minorEastAsia"/>
                <w:b/>
                <w:bCs/>
                <w:color w:val="000000" w:themeColor="text1"/>
                <w:sz w:val="16"/>
                <w:szCs w:val="16"/>
              </w:rPr>
              <w:lastRenderedPageBreak/>
              <w:t>Dimensión del riesgo</w:t>
            </w:r>
          </w:p>
        </w:tc>
        <w:tc>
          <w:tcPr>
            <w:tcW w:w="1559"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5180FF69" w14:textId="53A8A7F4">
            <w:pPr>
              <w:jc w:val="center"/>
              <w:rPr>
                <w:rFonts w:eastAsiaTheme="minorEastAsia"/>
                <w:b/>
                <w:bCs/>
                <w:color w:val="000000" w:themeColor="text1"/>
                <w:sz w:val="16"/>
                <w:szCs w:val="16"/>
              </w:rPr>
            </w:pPr>
            <w:r w:rsidRPr="001F7A5B">
              <w:rPr>
                <w:rFonts w:eastAsiaTheme="minorEastAsia"/>
                <w:b/>
                <w:bCs/>
                <w:color w:val="000000" w:themeColor="text1"/>
                <w:sz w:val="16"/>
                <w:szCs w:val="16"/>
              </w:rPr>
              <w:t>Indicador preventivo</w:t>
            </w:r>
          </w:p>
        </w:tc>
        <w:tc>
          <w:tcPr>
            <w:tcW w:w="1992"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1EB4B703" w14:textId="497853DA">
            <w:pPr>
              <w:jc w:val="center"/>
              <w:rPr>
                <w:rFonts w:eastAsiaTheme="minorEastAsia"/>
                <w:b/>
                <w:bCs/>
                <w:color w:val="000000" w:themeColor="text1"/>
                <w:sz w:val="16"/>
                <w:szCs w:val="16"/>
              </w:rPr>
            </w:pPr>
            <w:r w:rsidRPr="001F7A5B">
              <w:rPr>
                <w:rFonts w:eastAsiaTheme="minorEastAsia"/>
                <w:b/>
                <w:bCs/>
                <w:color w:val="000000" w:themeColor="text1"/>
                <w:sz w:val="16"/>
                <w:szCs w:val="16"/>
              </w:rPr>
              <w:t>Descripción</w:t>
            </w:r>
          </w:p>
        </w:tc>
        <w:tc>
          <w:tcPr>
            <w:tcW w:w="1479"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0B14F0E4" w14:textId="1F5DA674">
            <w:pPr>
              <w:jc w:val="center"/>
              <w:rPr>
                <w:rFonts w:eastAsiaTheme="minorEastAsia"/>
                <w:b/>
                <w:bCs/>
                <w:color w:val="000000" w:themeColor="text1"/>
                <w:sz w:val="16"/>
                <w:szCs w:val="16"/>
              </w:rPr>
            </w:pPr>
            <w:r w:rsidRPr="001F7A5B">
              <w:rPr>
                <w:rFonts w:eastAsiaTheme="minorEastAsia"/>
                <w:b/>
                <w:bCs/>
                <w:color w:val="000000" w:themeColor="text1"/>
                <w:sz w:val="16"/>
                <w:szCs w:val="16"/>
              </w:rPr>
              <w:t>Método de medición</w:t>
            </w:r>
          </w:p>
        </w:tc>
        <w:tc>
          <w:tcPr>
            <w:tcW w:w="1413"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087E7EE8" w14:textId="5D2E68B4">
            <w:pPr>
              <w:jc w:val="center"/>
              <w:rPr>
                <w:rFonts w:eastAsiaTheme="minorEastAsia"/>
                <w:b/>
                <w:bCs/>
                <w:color w:val="000000" w:themeColor="text1"/>
                <w:sz w:val="16"/>
                <w:szCs w:val="16"/>
              </w:rPr>
            </w:pPr>
            <w:r w:rsidRPr="001F7A5B">
              <w:rPr>
                <w:rFonts w:eastAsiaTheme="minorEastAsia"/>
                <w:b/>
                <w:bCs/>
                <w:color w:val="000000" w:themeColor="text1"/>
                <w:sz w:val="16"/>
                <w:szCs w:val="16"/>
              </w:rPr>
              <w:t>Fuente de información</w:t>
            </w:r>
          </w:p>
        </w:tc>
        <w:tc>
          <w:tcPr>
            <w:tcW w:w="1250" w:type="dxa"/>
            <w:tcBorders>
              <w:top w:val="single" w:color="auto" w:sz="8" w:space="0"/>
              <w:left w:val="single" w:color="auto" w:sz="8" w:space="0"/>
              <w:bottom w:val="single" w:color="auto" w:sz="8" w:space="0"/>
              <w:right w:val="single" w:color="auto" w:sz="8" w:space="0"/>
            </w:tcBorders>
            <w:shd w:val="clear" w:color="auto" w:fill="E8E8E8" w:themeFill="background2"/>
            <w:tcMar>
              <w:left w:w="108" w:type="dxa"/>
              <w:right w:w="108" w:type="dxa"/>
            </w:tcMar>
          </w:tcPr>
          <w:p w:rsidRPr="001F7A5B" w:rsidR="7ACB3E98" w:rsidP="00427423" w:rsidRDefault="7ACB3E98" w14:paraId="6CAD6267" w14:textId="4C66143E">
            <w:pPr>
              <w:jc w:val="center"/>
              <w:rPr>
                <w:rFonts w:eastAsiaTheme="minorEastAsia"/>
                <w:b/>
                <w:bCs/>
                <w:color w:val="000000" w:themeColor="text1"/>
                <w:sz w:val="16"/>
                <w:szCs w:val="16"/>
              </w:rPr>
            </w:pPr>
            <w:r w:rsidRPr="001F7A5B">
              <w:rPr>
                <w:rFonts w:eastAsiaTheme="minorEastAsia"/>
                <w:b/>
                <w:bCs/>
                <w:color w:val="000000" w:themeColor="text1"/>
                <w:sz w:val="16"/>
                <w:szCs w:val="16"/>
              </w:rPr>
              <w:t>Periodicidad</w:t>
            </w:r>
          </w:p>
        </w:tc>
      </w:tr>
      <w:tr w:rsidRPr="00427423" w:rsidR="7ACB3E98" w:rsidTr="001F7A5B" w14:paraId="3EE86BCD"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8AE3AC5" w14:textId="212C1A24">
            <w:pPr>
              <w:rPr>
                <w:rFonts w:eastAsiaTheme="minorEastAsia"/>
                <w:b/>
                <w:bCs/>
                <w:sz w:val="16"/>
                <w:szCs w:val="16"/>
              </w:rPr>
            </w:pPr>
            <w:r w:rsidRPr="001F7A5B">
              <w:rPr>
                <w:rFonts w:eastAsiaTheme="minorEastAsia"/>
                <w:b/>
                <w:bCs/>
                <w:sz w:val="16"/>
                <w:szCs w:val="16"/>
              </w:rPr>
              <w:t>Gobernanza institucional</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8FD1F45" w14:textId="652209D6">
            <w:pPr>
              <w:rPr>
                <w:rFonts w:eastAsiaTheme="minorEastAsia"/>
                <w:sz w:val="16"/>
                <w:szCs w:val="16"/>
              </w:rPr>
            </w:pPr>
            <w:r w:rsidRPr="001F7A5B">
              <w:rPr>
                <w:rFonts w:eastAsiaTheme="minorEastAsia"/>
                <w:sz w:val="16"/>
                <w:szCs w:val="16"/>
              </w:rPr>
              <w:t>Índice de claridad en role</w:t>
            </w:r>
            <w:r w:rsidRPr="001F7A5B" w:rsidR="4A349296">
              <w:rPr>
                <w:rFonts w:eastAsiaTheme="minorEastAsia"/>
                <w:sz w:val="16"/>
                <w:szCs w:val="16"/>
              </w:rPr>
              <w:t>s y</w:t>
            </w:r>
            <w:r w:rsidRPr="001F7A5B">
              <w:rPr>
                <w:rFonts w:eastAsiaTheme="minorEastAsia"/>
                <w:sz w:val="16"/>
                <w:szCs w:val="16"/>
              </w:rPr>
              <w:t xml:space="preserve"> responsabilidades</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5E1EF98" w14:textId="711E6021">
            <w:pPr>
              <w:rPr>
                <w:rFonts w:eastAsiaTheme="minorEastAsia"/>
                <w:sz w:val="16"/>
                <w:szCs w:val="16"/>
              </w:rPr>
            </w:pPr>
            <w:r w:rsidRPr="001F7A5B">
              <w:rPr>
                <w:rFonts w:eastAsiaTheme="minorEastAsia"/>
                <w:sz w:val="16"/>
                <w:szCs w:val="16"/>
              </w:rPr>
              <w:t>Mide el nivel de definición formal de funciones entre dependencias y actores institucionales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1D9FC58" w14:textId="0ECBD2F2">
            <w:pPr>
              <w:rPr>
                <w:rFonts w:eastAsiaTheme="minorEastAsia"/>
                <w:sz w:val="16"/>
                <w:szCs w:val="16"/>
              </w:rPr>
            </w:pPr>
            <w:r w:rsidRPr="001F7A5B">
              <w:rPr>
                <w:rFonts w:eastAsiaTheme="minorEastAsia"/>
                <w:sz w:val="16"/>
                <w:szCs w:val="16"/>
              </w:rPr>
              <w:t>% de procesos con roles documentados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2DA8389F" w14:textId="608F9314">
            <w:pPr>
              <w:rPr>
                <w:rFonts w:eastAsiaTheme="minorEastAsia"/>
                <w:sz w:val="16"/>
                <w:szCs w:val="16"/>
              </w:rPr>
            </w:pPr>
            <w:r w:rsidRPr="001F7A5B">
              <w:rPr>
                <w:rFonts w:eastAsiaTheme="minorEastAsia"/>
                <w:sz w:val="16"/>
                <w:szCs w:val="16"/>
              </w:rPr>
              <w:t>Manuales de funciones, MIPG</w:t>
            </w:r>
            <w:r w:rsidRPr="001F7A5B" w:rsidR="4E29C803">
              <w:rPr>
                <w:rFonts w:eastAsiaTheme="minorEastAsia"/>
                <w:sz w:val="16"/>
                <w:szCs w:val="16"/>
              </w:rPr>
              <w:t xml:space="preserve"> Modelo Integrado de Planeación y Gestión </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24F9B02" w14:textId="0A6E3B1E">
            <w:pPr>
              <w:rPr>
                <w:rFonts w:eastAsiaTheme="minorEastAsia"/>
                <w:sz w:val="16"/>
                <w:szCs w:val="16"/>
              </w:rPr>
            </w:pPr>
            <w:r w:rsidRPr="001F7A5B">
              <w:rPr>
                <w:rFonts w:eastAsiaTheme="minorEastAsia"/>
                <w:sz w:val="16"/>
                <w:szCs w:val="16"/>
              </w:rPr>
              <w:t>Anual</w:t>
            </w:r>
          </w:p>
        </w:tc>
      </w:tr>
      <w:tr w:rsidRPr="00427423" w:rsidR="7ACB3E98" w:rsidTr="001F7A5B" w14:paraId="3FF94A61"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51EF36D7" w14:textId="711A9A98">
            <w:pPr>
              <w:rPr>
                <w:rFonts w:eastAsiaTheme="minorEastAsia"/>
                <w:b/>
                <w:bCs/>
                <w:sz w:val="16"/>
                <w:szCs w:val="16"/>
              </w:rPr>
            </w:pPr>
            <w:r w:rsidRPr="001F7A5B">
              <w:rPr>
                <w:rFonts w:eastAsiaTheme="minorEastAsia"/>
                <w:b/>
                <w:bCs/>
                <w:sz w:val="16"/>
                <w:szCs w:val="16"/>
              </w:rPr>
              <w:t>Coordinación interinstitucional</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2C38854" w14:textId="3E5B358C">
            <w:pPr>
              <w:rPr>
                <w:rFonts w:eastAsiaTheme="minorEastAsia"/>
                <w:sz w:val="16"/>
                <w:szCs w:val="16"/>
              </w:rPr>
            </w:pPr>
            <w:r w:rsidRPr="001F7A5B">
              <w:rPr>
                <w:rFonts w:eastAsiaTheme="minorEastAsia"/>
                <w:sz w:val="16"/>
                <w:szCs w:val="16"/>
              </w:rPr>
              <w:t>Nivel de articulación entre entidades</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DA67749" w14:textId="68AAB42C">
            <w:pPr>
              <w:rPr>
                <w:rFonts w:eastAsiaTheme="minorEastAsia"/>
                <w:sz w:val="16"/>
                <w:szCs w:val="16"/>
              </w:rPr>
            </w:pPr>
            <w:r w:rsidRPr="001F7A5B">
              <w:rPr>
                <w:rFonts w:eastAsiaTheme="minorEastAsia"/>
                <w:sz w:val="16"/>
                <w:szCs w:val="16"/>
              </w:rPr>
              <w:t>Mide el nivel de coordinación entre las entidades responsables de la implementación de programas o políticas publicas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6E633B7" w14:textId="471DD85A">
            <w:pPr>
              <w:rPr>
                <w:rFonts w:eastAsiaTheme="minorEastAsia"/>
                <w:sz w:val="16"/>
                <w:szCs w:val="16"/>
              </w:rPr>
            </w:pPr>
            <w:r w:rsidRPr="001F7A5B">
              <w:rPr>
                <w:rFonts w:eastAsiaTheme="minorEastAsia"/>
                <w:sz w:val="16"/>
                <w:szCs w:val="16"/>
              </w:rPr>
              <w:t>Número de mesas técnicas activas / número de espacios esperado</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FF5D5D8" w14:textId="3E610D99">
            <w:pPr>
              <w:rPr>
                <w:rFonts w:eastAsiaTheme="minorEastAsia"/>
                <w:sz w:val="16"/>
                <w:szCs w:val="16"/>
              </w:rPr>
            </w:pPr>
            <w:r w:rsidRPr="001F7A5B">
              <w:rPr>
                <w:rFonts w:eastAsiaTheme="minorEastAsia"/>
                <w:sz w:val="16"/>
                <w:szCs w:val="16"/>
              </w:rPr>
              <w:t>Actas institucionales, informes de coordinación</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243EDF81" w14:textId="4AB50580">
            <w:pPr>
              <w:rPr>
                <w:rFonts w:eastAsiaTheme="minorEastAsia"/>
                <w:sz w:val="16"/>
                <w:szCs w:val="16"/>
              </w:rPr>
            </w:pPr>
            <w:r w:rsidRPr="001F7A5B">
              <w:rPr>
                <w:rFonts w:eastAsiaTheme="minorEastAsia"/>
                <w:sz w:val="16"/>
                <w:szCs w:val="16"/>
              </w:rPr>
              <w:t>Semestral</w:t>
            </w:r>
          </w:p>
        </w:tc>
      </w:tr>
      <w:tr w:rsidRPr="00427423" w:rsidR="7ACB3E98" w:rsidTr="001F7A5B" w14:paraId="6BE8E42A"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9E9BBE1" w14:textId="316AD48F">
            <w:pPr>
              <w:rPr>
                <w:rFonts w:eastAsiaTheme="minorEastAsia"/>
                <w:b/>
                <w:bCs/>
                <w:sz w:val="16"/>
                <w:szCs w:val="16"/>
              </w:rPr>
            </w:pPr>
            <w:r w:rsidRPr="001F7A5B">
              <w:rPr>
                <w:rFonts w:eastAsiaTheme="minorEastAsia"/>
                <w:b/>
                <w:bCs/>
                <w:sz w:val="16"/>
                <w:szCs w:val="16"/>
              </w:rPr>
              <w:t>Planeación estratégica</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66215D0" w14:textId="238660A2">
            <w:pPr>
              <w:rPr>
                <w:rFonts w:eastAsiaTheme="minorEastAsia"/>
                <w:sz w:val="16"/>
                <w:szCs w:val="16"/>
              </w:rPr>
            </w:pPr>
            <w:r w:rsidRPr="001F7A5B">
              <w:rPr>
                <w:rFonts w:eastAsiaTheme="minorEastAsia"/>
                <w:sz w:val="16"/>
                <w:szCs w:val="16"/>
              </w:rPr>
              <w:t>Cumplimiento de metas intermedias</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764C3CA" w14:textId="70FD616E">
            <w:pPr>
              <w:rPr>
                <w:rFonts w:eastAsiaTheme="minorEastAsia"/>
                <w:sz w:val="16"/>
                <w:szCs w:val="16"/>
              </w:rPr>
            </w:pPr>
            <w:r w:rsidRPr="001F7A5B">
              <w:rPr>
                <w:rFonts w:eastAsiaTheme="minorEastAsia"/>
                <w:sz w:val="16"/>
                <w:szCs w:val="16"/>
              </w:rPr>
              <w:t>Permite identificar desviaciones tempranas en la ejecución de programas o proyectos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8F2DF68" w14:textId="78F68A45">
            <w:pPr>
              <w:rPr>
                <w:rFonts w:eastAsiaTheme="minorEastAsia"/>
                <w:sz w:val="16"/>
                <w:szCs w:val="16"/>
              </w:rPr>
            </w:pPr>
            <w:r w:rsidRPr="001F7A5B">
              <w:rPr>
                <w:rFonts w:eastAsiaTheme="minorEastAsia"/>
                <w:sz w:val="16"/>
                <w:szCs w:val="16"/>
              </w:rPr>
              <w:t>% de metas intermedias cumplidas / frente a las metas programadas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7DFA1C5" w14:textId="20EB5BAF">
            <w:pPr>
              <w:rPr>
                <w:rFonts w:eastAsiaTheme="minorEastAsia"/>
                <w:sz w:val="16"/>
                <w:szCs w:val="16"/>
              </w:rPr>
            </w:pPr>
            <w:r w:rsidRPr="001F7A5B">
              <w:rPr>
                <w:rFonts w:eastAsiaTheme="minorEastAsia"/>
                <w:sz w:val="16"/>
                <w:szCs w:val="16"/>
              </w:rPr>
              <w:t>Planes estratégicos y POAI, informes de seguimiento</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34DE5B2" w14:textId="6B342058">
            <w:pPr>
              <w:rPr>
                <w:rFonts w:eastAsiaTheme="minorEastAsia"/>
                <w:sz w:val="16"/>
                <w:szCs w:val="16"/>
              </w:rPr>
            </w:pPr>
            <w:r w:rsidRPr="001F7A5B">
              <w:rPr>
                <w:rFonts w:eastAsiaTheme="minorEastAsia"/>
                <w:sz w:val="16"/>
                <w:szCs w:val="16"/>
              </w:rPr>
              <w:t>Trimestral</w:t>
            </w:r>
          </w:p>
        </w:tc>
      </w:tr>
      <w:tr w:rsidRPr="00427423" w:rsidR="7ACB3E98" w:rsidTr="001F7A5B" w14:paraId="09AD0A45"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F851D2C" w14:textId="243E0E8A">
            <w:pPr>
              <w:rPr>
                <w:rFonts w:eastAsiaTheme="minorEastAsia"/>
                <w:b/>
                <w:bCs/>
                <w:sz w:val="16"/>
                <w:szCs w:val="16"/>
              </w:rPr>
            </w:pPr>
            <w:r w:rsidRPr="001F7A5B">
              <w:rPr>
                <w:rFonts w:eastAsiaTheme="minorEastAsia"/>
                <w:b/>
                <w:bCs/>
                <w:sz w:val="16"/>
                <w:szCs w:val="16"/>
              </w:rPr>
              <w:t>Gestión financiera</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2B3BCFC3" w14:textId="5E35FFF5">
            <w:pPr>
              <w:rPr>
                <w:rFonts w:eastAsiaTheme="minorEastAsia"/>
                <w:sz w:val="16"/>
                <w:szCs w:val="16"/>
              </w:rPr>
            </w:pPr>
            <w:r w:rsidRPr="001F7A5B">
              <w:rPr>
                <w:rFonts w:eastAsiaTheme="minorEastAsia"/>
                <w:sz w:val="16"/>
                <w:szCs w:val="16"/>
              </w:rPr>
              <w:t>Variación presupuestal no planificada</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67ECF4B" w14:textId="79E22627">
            <w:pPr>
              <w:rPr>
                <w:rFonts w:eastAsiaTheme="minorEastAsia"/>
                <w:sz w:val="16"/>
                <w:szCs w:val="16"/>
              </w:rPr>
            </w:pPr>
            <w:r w:rsidRPr="001F7A5B">
              <w:rPr>
                <w:rFonts w:eastAsiaTheme="minorEastAsia"/>
                <w:sz w:val="16"/>
                <w:szCs w:val="16"/>
              </w:rPr>
              <w:t>Detecta riesgos de desfinanciamiento o mala asignación de recursos que pueda afectar la sostenibilidad de los programas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1862599" w14:textId="2105495B">
            <w:pPr>
              <w:rPr>
                <w:rFonts w:eastAsiaTheme="minorEastAsia"/>
                <w:sz w:val="16"/>
                <w:szCs w:val="16"/>
              </w:rPr>
            </w:pPr>
            <w:r w:rsidRPr="001F7A5B">
              <w:rPr>
                <w:rFonts w:eastAsiaTheme="minorEastAsia"/>
                <w:sz w:val="16"/>
                <w:szCs w:val="16"/>
              </w:rPr>
              <w:t>% de modificaciones presupuestales/ frente presupuesto inicial aprobado</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2F67D1D" w14:textId="7AA94BA3">
            <w:pPr>
              <w:rPr>
                <w:rFonts w:eastAsiaTheme="minorEastAsia"/>
                <w:sz w:val="16"/>
                <w:szCs w:val="16"/>
              </w:rPr>
            </w:pPr>
            <w:r w:rsidRPr="001F7A5B">
              <w:rPr>
                <w:rFonts w:eastAsiaTheme="minorEastAsia"/>
                <w:sz w:val="16"/>
                <w:szCs w:val="16"/>
              </w:rPr>
              <w:t>Ejecución presupuestal y sistemas financieros institucionales</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0FCA97C" w14:textId="4EFB0E8F">
            <w:pPr>
              <w:rPr>
                <w:rFonts w:eastAsiaTheme="minorEastAsia"/>
                <w:sz w:val="16"/>
                <w:szCs w:val="16"/>
              </w:rPr>
            </w:pPr>
            <w:r w:rsidRPr="001F7A5B">
              <w:rPr>
                <w:rFonts w:eastAsiaTheme="minorEastAsia"/>
                <w:sz w:val="16"/>
                <w:szCs w:val="16"/>
              </w:rPr>
              <w:t>Trimestral</w:t>
            </w:r>
          </w:p>
        </w:tc>
      </w:tr>
      <w:tr w:rsidRPr="00427423" w:rsidR="7ACB3E98" w:rsidTr="001F7A5B" w14:paraId="138347CC"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69088BB" w14:textId="3C37BA47">
            <w:pPr>
              <w:rPr>
                <w:rFonts w:eastAsiaTheme="minorEastAsia"/>
                <w:b/>
                <w:bCs/>
                <w:sz w:val="16"/>
                <w:szCs w:val="16"/>
              </w:rPr>
            </w:pPr>
            <w:r w:rsidRPr="001F7A5B">
              <w:rPr>
                <w:rFonts w:eastAsiaTheme="minorEastAsia"/>
                <w:b/>
                <w:bCs/>
                <w:sz w:val="16"/>
                <w:szCs w:val="16"/>
              </w:rPr>
              <w:t>Capacidad institucional</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7FEC673" w14:textId="09ED65DC">
            <w:pPr>
              <w:rPr>
                <w:rFonts w:eastAsiaTheme="minorEastAsia"/>
                <w:sz w:val="16"/>
                <w:szCs w:val="16"/>
              </w:rPr>
            </w:pPr>
            <w:r w:rsidRPr="001F7A5B">
              <w:rPr>
                <w:rFonts w:eastAsiaTheme="minorEastAsia"/>
                <w:sz w:val="16"/>
                <w:szCs w:val="16"/>
              </w:rPr>
              <w:t>Índice de rotación del personal clave</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F1A9AE7" w14:textId="7CD4FD44">
            <w:pPr>
              <w:rPr>
                <w:rFonts w:eastAsiaTheme="minorEastAsia"/>
                <w:sz w:val="16"/>
                <w:szCs w:val="16"/>
              </w:rPr>
            </w:pPr>
            <w:r w:rsidRPr="001F7A5B">
              <w:rPr>
                <w:rFonts w:eastAsiaTheme="minorEastAsia"/>
                <w:sz w:val="16"/>
                <w:szCs w:val="16"/>
              </w:rPr>
              <w:t>Identifica pérdida de conocimiento institucional o debilidad en capacidades técnicas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CFCF75F" w14:textId="041A2982">
            <w:pPr>
              <w:rPr>
                <w:rFonts w:eastAsiaTheme="minorEastAsia"/>
                <w:sz w:val="16"/>
                <w:szCs w:val="16"/>
              </w:rPr>
            </w:pPr>
            <w:r w:rsidRPr="001F7A5B">
              <w:rPr>
                <w:rFonts w:eastAsiaTheme="minorEastAsia"/>
                <w:sz w:val="16"/>
                <w:szCs w:val="16"/>
              </w:rPr>
              <w:t>Número de salidas de personal clave / total de cargos estratégicos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0F1E418" w14:textId="66966B24">
            <w:pPr>
              <w:rPr>
                <w:rFonts w:eastAsiaTheme="minorEastAsia"/>
                <w:sz w:val="16"/>
                <w:szCs w:val="16"/>
              </w:rPr>
            </w:pPr>
            <w:r w:rsidRPr="001F7A5B">
              <w:rPr>
                <w:rFonts w:eastAsiaTheme="minorEastAsia"/>
                <w:sz w:val="16"/>
                <w:szCs w:val="16"/>
              </w:rPr>
              <w:t>Gestión de talento humano</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62CD17E" w14:textId="5E267ABD">
            <w:pPr>
              <w:rPr>
                <w:rFonts w:eastAsiaTheme="minorEastAsia"/>
                <w:sz w:val="16"/>
                <w:szCs w:val="16"/>
              </w:rPr>
            </w:pPr>
            <w:r w:rsidRPr="001F7A5B">
              <w:rPr>
                <w:rFonts w:eastAsiaTheme="minorEastAsia"/>
                <w:sz w:val="16"/>
                <w:szCs w:val="16"/>
              </w:rPr>
              <w:t>Semestral</w:t>
            </w:r>
          </w:p>
        </w:tc>
      </w:tr>
      <w:tr w:rsidRPr="00427423" w:rsidR="7ACB3E98" w:rsidTr="001F7A5B" w14:paraId="1E3D9835"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57381453" w14:textId="378C7CBB">
            <w:pPr>
              <w:rPr>
                <w:rFonts w:eastAsiaTheme="minorEastAsia"/>
                <w:b/>
                <w:bCs/>
                <w:sz w:val="16"/>
                <w:szCs w:val="16"/>
              </w:rPr>
            </w:pPr>
            <w:r w:rsidRPr="001F7A5B">
              <w:rPr>
                <w:rFonts w:eastAsiaTheme="minorEastAsia"/>
                <w:b/>
                <w:bCs/>
                <w:sz w:val="16"/>
                <w:szCs w:val="16"/>
              </w:rPr>
              <w:t>Transparencia y Control Interno</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BBB337B" w14:textId="38C029E3">
            <w:pPr>
              <w:rPr>
                <w:rFonts w:eastAsiaTheme="minorEastAsia"/>
                <w:sz w:val="16"/>
                <w:szCs w:val="16"/>
              </w:rPr>
            </w:pPr>
            <w:r w:rsidRPr="001F7A5B">
              <w:rPr>
                <w:rFonts w:eastAsiaTheme="minorEastAsia"/>
                <w:sz w:val="16"/>
                <w:szCs w:val="16"/>
              </w:rPr>
              <w:t>Número de alertas de control interno</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FF8B59B" w14:textId="2EDCC672">
            <w:pPr>
              <w:rPr>
                <w:rFonts w:eastAsiaTheme="minorEastAsia"/>
                <w:sz w:val="16"/>
                <w:szCs w:val="16"/>
              </w:rPr>
            </w:pPr>
            <w:r w:rsidRPr="001F7A5B">
              <w:rPr>
                <w:rFonts w:eastAsiaTheme="minorEastAsia"/>
                <w:sz w:val="16"/>
                <w:szCs w:val="16"/>
              </w:rPr>
              <w:t>Permite identificar debilidades en los mecanismos de control institucional y posibles riesgos administrativos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22EB4CD" w14:textId="0FFE216E">
            <w:pPr>
              <w:rPr>
                <w:rFonts w:eastAsiaTheme="minorEastAsia"/>
                <w:sz w:val="16"/>
                <w:szCs w:val="16"/>
              </w:rPr>
            </w:pPr>
            <w:r w:rsidRPr="001F7A5B">
              <w:rPr>
                <w:rFonts w:eastAsiaTheme="minorEastAsia"/>
                <w:sz w:val="16"/>
                <w:szCs w:val="16"/>
              </w:rPr>
              <w:t>Número de hallazgos o alertas identificadas en auditorías internas o externas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5AF5D2A6" w14:textId="391AFE8C">
            <w:pPr>
              <w:rPr>
                <w:rFonts w:eastAsiaTheme="minorEastAsia"/>
                <w:sz w:val="16"/>
                <w:szCs w:val="16"/>
              </w:rPr>
            </w:pPr>
            <w:r w:rsidRPr="001F7A5B">
              <w:rPr>
                <w:rFonts w:eastAsiaTheme="minorEastAsia"/>
                <w:sz w:val="16"/>
                <w:szCs w:val="16"/>
              </w:rPr>
              <w:t>Informes de control interno y auditoria</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0FB23AB" w14:textId="03CAE521">
            <w:pPr>
              <w:rPr>
                <w:rFonts w:eastAsiaTheme="minorEastAsia"/>
                <w:sz w:val="16"/>
                <w:szCs w:val="16"/>
              </w:rPr>
            </w:pPr>
            <w:r w:rsidRPr="001F7A5B">
              <w:rPr>
                <w:rFonts w:eastAsiaTheme="minorEastAsia"/>
                <w:sz w:val="16"/>
                <w:szCs w:val="16"/>
              </w:rPr>
              <w:t>Trimestral</w:t>
            </w:r>
          </w:p>
        </w:tc>
      </w:tr>
      <w:tr w:rsidRPr="00427423" w:rsidR="7ACB3E98" w:rsidTr="001F7A5B" w14:paraId="4C46CB7B"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C5881D3" w14:textId="6A0660F5">
            <w:pPr>
              <w:rPr>
                <w:rFonts w:eastAsiaTheme="minorEastAsia"/>
                <w:b/>
                <w:bCs/>
                <w:sz w:val="16"/>
                <w:szCs w:val="16"/>
              </w:rPr>
            </w:pPr>
            <w:r w:rsidRPr="001F7A5B">
              <w:rPr>
                <w:rFonts w:eastAsiaTheme="minorEastAsia"/>
                <w:b/>
                <w:bCs/>
                <w:sz w:val="16"/>
                <w:szCs w:val="16"/>
              </w:rPr>
              <w:t>Gestión de información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C35B8E8" w14:textId="058E7CD7">
            <w:pPr>
              <w:rPr>
                <w:rFonts w:eastAsiaTheme="minorEastAsia"/>
                <w:sz w:val="16"/>
                <w:szCs w:val="16"/>
              </w:rPr>
            </w:pPr>
            <w:r w:rsidRPr="001F7A5B">
              <w:rPr>
                <w:rFonts w:eastAsiaTheme="minorEastAsia"/>
                <w:sz w:val="16"/>
                <w:szCs w:val="16"/>
              </w:rPr>
              <w:t>Nivel de integración de sistemas de información</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B57411A" w14:textId="5773F648">
            <w:pPr>
              <w:rPr>
                <w:rFonts w:eastAsiaTheme="minorEastAsia"/>
                <w:sz w:val="16"/>
                <w:szCs w:val="16"/>
              </w:rPr>
            </w:pPr>
            <w:r w:rsidRPr="001F7A5B">
              <w:rPr>
                <w:rFonts w:eastAsiaTheme="minorEastAsia"/>
                <w:sz w:val="16"/>
                <w:szCs w:val="16"/>
              </w:rPr>
              <w:t>Mide la capacidad de compartir información entre áreas institucionales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58B02649" w14:textId="46C6433E">
            <w:pPr>
              <w:rPr>
                <w:rFonts w:eastAsiaTheme="minorEastAsia"/>
                <w:sz w:val="16"/>
                <w:szCs w:val="16"/>
              </w:rPr>
            </w:pPr>
            <w:r w:rsidRPr="001F7A5B">
              <w:rPr>
                <w:rFonts w:eastAsiaTheme="minorEastAsia"/>
                <w:sz w:val="16"/>
                <w:szCs w:val="16"/>
              </w:rPr>
              <w:t xml:space="preserve">% de sistemas institucionales integrados o interoperables </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33AE143" w14:textId="3BB8067A">
            <w:pPr>
              <w:rPr>
                <w:rFonts w:eastAsiaTheme="minorEastAsia"/>
                <w:sz w:val="16"/>
                <w:szCs w:val="16"/>
              </w:rPr>
            </w:pPr>
            <w:r w:rsidRPr="001F7A5B">
              <w:rPr>
                <w:rFonts w:eastAsiaTheme="minorEastAsia"/>
                <w:sz w:val="16"/>
                <w:szCs w:val="16"/>
              </w:rPr>
              <w:t>Sistemas de información institucional</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718B845" w14:textId="18B6BE16">
            <w:pPr>
              <w:rPr>
                <w:rFonts w:eastAsiaTheme="minorEastAsia"/>
                <w:sz w:val="16"/>
                <w:szCs w:val="16"/>
              </w:rPr>
            </w:pPr>
            <w:r w:rsidRPr="001F7A5B">
              <w:rPr>
                <w:rFonts w:eastAsiaTheme="minorEastAsia"/>
                <w:sz w:val="16"/>
                <w:szCs w:val="16"/>
              </w:rPr>
              <w:t>Anual</w:t>
            </w:r>
          </w:p>
        </w:tc>
      </w:tr>
      <w:tr w:rsidRPr="00427423" w:rsidR="7ACB3E98" w:rsidTr="001F7A5B" w14:paraId="0D27D33F"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4E60D8B" w14:textId="4A2E136A">
            <w:pPr>
              <w:rPr>
                <w:rFonts w:eastAsiaTheme="minorEastAsia"/>
                <w:b/>
                <w:bCs/>
                <w:sz w:val="16"/>
                <w:szCs w:val="16"/>
              </w:rPr>
            </w:pPr>
            <w:r w:rsidRPr="001F7A5B">
              <w:rPr>
                <w:rFonts w:eastAsiaTheme="minorEastAsia"/>
                <w:b/>
                <w:bCs/>
                <w:sz w:val="16"/>
                <w:szCs w:val="16"/>
              </w:rPr>
              <w:t>Participación ciudadana</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23E7AE76" w14:textId="72118180">
            <w:pPr>
              <w:rPr>
                <w:rFonts w:eastAsiaTheme="minorEastAsia"/>
                <w:sz w:val="16"/>
                <w:szCs w:val="16"/>
              </w:rPr>
            </w:pPr>
            <w:r w:rsidRPr="001F7A5B">
              <w:rPr>
                <w:rFonts w:eastAsiaTheme="minorEastAsia"/>
                <w:sz w:val="16"/>
                <w:szCs w:val="16"/>
              </w:rPr>
              <w:t>Índice de participación en procesos de política pública</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3FDDEEF" w14:textId="4C4194FE">
            <w:pPr>
              <w:rPr>
                <w:rFonts w:eastAsiaTheme="minorEastAsia"/>
                <w:sz w:val="16"/>
                <w:szCs w:val="16"/>
              </w:rPr>
            </w:pPr>
            <w:r w:rsidRPr="001F7A5B">
              <w:rPr>
                <w:rFonts w:eastAsiaTheme="minorEastAsia"/>
                <w:sz w:val="16"/>
                <w:szCs w:val="16"/>
              </w:rPr>
              <w:t>Detecta riesgos de baja legitimidad social de las decisiones públicas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5D7D0C6" w14:textId="7BA42287">
            <w:pPr>
              <w:rPr>
                <w:rFonts w:eastAsiaTheme="minorEastAsia"/>
                <w:sz w:val="16"/>
                <w:szCs w:val="16"/>
              </w:rPr>
            </w:pPr>
            <w:r w:rsidRPr="001F7A5B">
              <w:rPr>
                <w:rFonts w:eastAsiaTheme="minorEastAsia"/>
                <w:sz w:val="16"/>
                <w:szCs w:val="16"/>
              </w:rPr>
              <w:t>Número de espacios participativos realizados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437963F3" w14:textId="689567AF">
            <w:pPr>
              <w:rPr>
                <w:rFonts w:eastAsiaTheme="minorEastAsia"/>
                <w:sz w:val="16"/>
                <w:szCs w:val="16"/>
              </w:rPr>
            </w:pPr>
            <w:r w:rsidRPr="001F7A5B">
              <w:rPr>
                <w:rFonts w:eastAsiaTheme="minorEastAsia"/>
                <w:sz w:val="16"/>
                <w:szCs w:val="16"/>
              </w:rPr>
              <w:t>Informes de participación</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2371D6B7" w14:textId="2D016657">
            <w:pPr>
              <w:rPr>
                <w:rFonts w:eastAsiaTheme="minorEastAsia"/>
                <w:sz w:val="16"/>
                <w:szCs w:val="16"/>
              </w:rPr>
            </w:pPr>
            <w:r w:rsidRPr="001F7A5B">
              <w:rPr>
                <w:rFonts w:eastAsiaTheme="minorEastAsia"/>
                <w:sz w:val="16"/>
                <w:szCs w:val="16"/>
              </w:rPr>
              <w:t>Semestral</w:t>
            </w:r>
          </w:p>
        </w:tc>
      </w:tr>
      <w:tr w:rsidRPr="00427423" w:rsidR="7ACB3E98" w:rsidTr="001F7A5B" w14:paraId="54714816"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00427423" w14:paraId="0999BDBD" w14:textId="548C2EC9">
            <w:pPr>
              <w:rPr>
                <w:rFonts w:eastAsiaTheme="minorEastAsia"/>
                <w:b/>
                <w:bCs/>
                <w:sz w:val="16"/>
                <w:szCs w:val="16"/>
              </w:rPr>
            </w:pPr>
            <w:r w:rsidRPr="001F7A5B">
              <w:rPr>
                <w:rFonts w:eastAsiaTheme="minorEastAsia"/>
                <w:b/>
                <w:bCs/>
                <w:sz w:val="16"/>
                <w:szCs w:val="16"/>
              </w:rPr>
              <w:t>Imagen y reputación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1BCAD9E" w14:textId="5B1E9E2B">
            <w:pPr>
              <w:rPr>
                <w:rFonts w:eastAsiaTheme="minorEastAsia"/>
                <w:sz w:val="16"/>
                <w:szCs w:val="16"/>
              </w:rPr>
            </w:pPr>
            <w:r w:rsidRPr="001F7A5B">
              <w:rPr>
                <w:rFonts w:eastAsiaTheme="minorEastAsia"/>
                <w:sz w:val="16"/>
                <w:szCs w:val="16"/>
              </w:rPr>
              <w:t>Nivel de quejas ciudadanas</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33421CF" w14:textId="4FFD991B">
            <w:pPr>
              <w:rPr>
                <w:rFonts w:eastAsiaTheme="minorEastAsia"/>
                <w:sz w:val="16"/>
                <w:szCs w:val="16"/>
              </w:rPr>
            </w:pPr>
            <w:r w:rsidRPr="001F7A5B">
              <w:rPr>
                <w:rFonts w:eastAsiaTheme="minorEastAsia"/>
                <w:sz w:val="16"/>
                <w:szCs w:val="16"/>
              </w:rPr>
              <w:t>Identifica problemas tempranos en la prestación de servicios públicos y la percepción pública de la institución</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68ED398" w14:textId="204AA823">
            <w:pPr>
              <w:rPr>
                <w:rFonts w:eastAsiaTheme="minorEastAsia"/>
                <w:sz w:val="16"/>
                <w:szCs w:val="16"/>
              </w:rPr>
            </w:pPr>
            <w:r w:rsidRPr="001F7A5B">
              <w:rPr>
                <w:rFonts w:eastAsiaTheme="minorEastAsia"/>
                <w:sz w:val="16"/>
                <w:szCs w:val="16"/>
              </w:rPr>
              <w:t>Número de PQRS registradas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0E2270D0" w14:textId="63DF6360">
            <w:pPr>
              <w:rPr>
                <w:rFonts w:eastAsiaTheme="minorEastAsia"/>
                <w:sz w:val="16"/>
                <w:szCs w:val="16"/>
              </w:rPr>
            </w:pPr>
            <w:r w:rsidRPr="001F7A5B">
              <w:rPr>
                <w:rFonts w:eastAsiaTheme="minorEastAsia"/>
                <w:sz w:val="16"/>
                <w:szCs w:val="16"/>
              </w:rPr>
              <w:t>Sistema de atención al ciudadano</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508EAFB7" w14:textId="7C1E0BD5">
            <w:pPr>
              <w:rPr>
                <w:rFonts w:eastAsiaTheme="minorEastAsia"/>
                <w:sz w:val="16"/>
                <w:szCs w:val="16"/>
              </w:rPr>
            </w:pPr>
            <w:r w:rsidRPr="001F7A5B">
              <w:rPr>
                <w:rFonts w:eastAsiaTheme="minorEastAsia"/>
                <w:sz w:val="16"/>
                <w:szCs w:val="16"/>
              </w:rPr>
              <w:t>Mensual</w:t>
            </w:r>
          </w:p>
        </w:tc>
      </w:tr>
      <w:tr w:rsidRPr="00427423" w:rsidR="7ACB3E98" w:rsidTr="001F7A5B" w14:paraId="7CEC46D2" w14:textId="77777777">
        <w:trPr>
          <w:trHeight w:val="300"/>
        </w:trPr>
        <w:tc>
          <w:tcPr>
            <w:tcW w:w="1276"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37B7FBD1" w14:textId="6D39B588">
            <w:pPr>
              <w:rPr>
                <w:rFonts w:eastAsiaTheme="minorEastAsia"/>
                <w:b/>
                <w:bCs/>
                <w:sz w:val="16"/>
                <w:szCs w:val="16"/>
              </w:rPr>
            </w:pPr>
            <w:r w:rsidRPr="001F7A5B">
              <w:rPr>
                <w:rFonts w:eastAsiaTheme="minorEastAsia"/>
                <w:b/>
                <w:bCs/>
                <w:sz w:val="16"/>
                <w:szCs w:val="16"/>
              </w:rPr>
              <w:t>Aprendizaje institucional</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65DA05B3" w14:textId="1A3BB3A1">
            <w:pPr>
              <w:rPr>
                <w:rFonts w:eastAsiaTheme="minorEastAsia"/>
                <w:sz w:val="16"/>
                <w:szCs w:val="16"/>
              </w:rPr>
            </w:pPr>
            <w:r w:rsidRPr="001F7A5B">
              <w:rPr>
                <w:rFonts w:eastAsiaTheme="minorEastAsia"/>
                <w:sz w:val="16"/>
                <w:szCs w:val="16"/>
              </w:rPr>
              <w:t>Implementación de acciones correctivas</w:t>
            </w:r>
          </w:p>
        </w:tc>
        <w:tc>
          <w:tcPr>
            <w:tcW w:w="1992"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684814E" w14:textId="0E8DF0C9">
            <w:pPr>
              <w:rPr>
                <w:rFonts w:eastAsiaTheme="minorEastAsia"/>
                <w:sz w:val="16"/>
                <w:szCs w:val="16"/>
              </w:rPr>
            </w:pPr>
            <w:r w:rsidRPr="001F7A5B">
              <w:rPr>
                <w:rFonts w:eastAsiaTheme="minorEastAsia"/>
                <w:sz w:val="16"/>
                <w:szCs w:val="16"/>
              </w:rPr>
              <w:t>Mide la capacidad institucional para implementar mejoras derivadas de auditorías o evaluaciones recibidas</w:t>
            </w:r>
          </w:p>
        </w:tc>
        <w:tc>
          <w:tcPr>
            <w:tcW w:w="1479"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7AED5FE1" w14:textId="407A31B4">
            <w:pPr>
              <w:rPr>
                <w:rFonts w:eastAsiaTheme="minorEastAsia"/>
                <w:sz w:val="16"/>
                <w:szCs w:val="16"/>
              </w:rPr>
            </w:pPr>
            <w:r w:rsidRPr="001F7A5B">
              <w:rPr>
                <w:rFonts w:eastAsiaTheme="minorEastAsia"/>
                <w:sz w:val="16"/>
                <w:szCs w:val="16"/>
              </w:rPr>
              <w:t>% de planes de mejora ejecutados / frente a planes de mejora formulados</w:t>
            </w:r>
          </w:p>
        </w:tc>
        <w:tc>
          <w:tcPr>
            <w:tcW w:w="1413"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565D2DE" w14:textId="71EDDBD5">
            <w:pPr>
              <w:rPr>
                <w:rFonts w:eastAsiaTheme="minorEastAsia"/>
                <w:sz w:val="16"/>
                <w:szCs w:val="16"/>
              </w:rPr>
            </w:pPr>
            <w:r w:rsidRPr="001F7A5B">
              <w:rPr>
                <w:rFonts w:eastAsiaTheme="minorEastAsia"/>
                <w:sz w:val="16"/>
                <w:szCs w:val="16"/>
              </w:rPr>
              <w:t>Informes de gestión institucional</w:t>
            </w:r>
          </w:p>
        </w:tc>
        <w:tc>
          <w:tcPr>
            <w:tcW w:w="1250" w:type="dxa"/>
            <w:tcBorders>
              <w:top w:val="single" w:color="auto" w:sz="8" w:space="0"/>
              <w:left w:val="single" w:color="auto" w:sz="8" w:space="0"/>
              <w:bottom w:val="single" w:color="auto" w:sz="8" w:space="0"/>
              <w:right w:val="single" w:color="auto" w:sz="8" w:space="0"/>
            </w:tcBorders>
            <w:tcMar>
              <w:left w:w="108" w:type="dxa"/>
              <w:right w:w="108" w:type="dxa"/>
            </w:tcMar>
          </w:tcPr>
          <w:p w:rsidRPr="001F7A5B" w:rsidR="7ACB3E98" w:rsidP="7ACB3E98" w:rsidRDefault="7ACB3E98" w14:paraId="141BFAC8" w14:textId="110C2969">
            <w:pPr>
              <w:rPr>
                <w:rFonts w:eastAsiaTheme="minorEastAsia"/>
                <w:sz w:val="16"/>
                <w:szCs w:val="16"/>
              </w:rPr>
            </w:pPr>
            <w:r w:rsidRPr="001F7A5B">
              <w:rPr>
                <w:rFonts w:eastAsiaTheme="minorEastAsia"/>
                <w:sz w:val="16"/>
                <w:szCs w:val="16"/>
              </w:rPr>
              <w:t>Semestral</w:t>
            </w:r>
          </w:p>
        </w:tc>
      </w:tr>
    </w:tbl>
    <w:p w:rsidR="000C48FC" w:rsidP="00B77022" w:rsidRDefault="000C48FC" w14:paraId="080B7620" w14:textId="77777777">
      <w:bookmarkStart w:name="_Toc225160625" w:id="30"/>
    </w:p>
    <w:p w:rsidRPr="000C48FC" w:rsidR="000C48FC" w:rsidP="000C48FC" w:rsidRDefault="000C48FC" w14:paraId="582D3998" w14:textId="77777777"/>
    <w:p w:rsidRPr="008F6E2D" w:rsidR="00474C9A" w:rsidP="00C677C8" w:rsidRDefault="00146446" w14:paraId="56EE201E" w14:textId="3972E6C2">
      <w:pPr>
        <w:pStyle w:val="Ttulo1"/>
        <w:numPr>
          <w:ilvl w:val="0"/>
          <w:numId w:val="32"/>
        </w:numPr>
        <w:jc w:val="center"/>
        <w:rPr>
          <w:rFonts w:asciiTheme="minorHAnsi" w:hAnsiTheme="minorHAnsi"/>
          <w:b/>
          <w:bCs/>
          <w:color w:val="auto"/>
          <w:sz w:val="24"/>
          <w:szCs w:val="24"/>
        </w:rPr>
      </w:pPr>
      <w:r w:rsidRPr="008F6E2D">
        <w:rPr>
          <w:rFonts w:asciiTheme="minorHAnsi" w:hAnsiTheme="minorHAnsi"/>
          <w:b/>
          <w:bCs/>
          <w:color w:val="auto"/>
          <w:sz w:val="24"/>
          <w:szCs w:val="24"/>
        </w:rPr>
        <w:lastRenderedPageBreak/>
        <w:t>RECOMENDACIONES</w:t>
      </w:r>
      <w:bookmarkEnd w:id="30"/>
    </w:p>
    <w:p w:rsidRPr="008F6E2D" w:rsidR="00567A09" w:rsidP="00567A09" w:rsidRDefault="00567A09" w14:paraId="01E24A3D" w14:textId="77777777"/>
    <w:p w:rsidR="05BEC4A4" w:rsidP="47AF4370" w:rsidRDefault="05BEC4A4" w14:paraId="765C8FCA" w14:textId="02FAD71C">
      <w:pPr>
        <w:jc w:val="both"/>
      </w:pPr>
      <w:r w:rsidRPr="47AF4370">
        <w:rPr>
          <w:rFonts w:ascii="Aptos" w:hAnsi="Aptos" w:eastAsia="Aptos" w:cs="Aptos"/>
          <w:sz w:val="22"/>
          <w:szCs w:val="22"/>
        </w:rPr>
        <w:t>El documento permite evidenciar que el riesgo organizacional en la implementación de políticas públicas es un fenómeno estructural, dinámico y acumulativo, más que un conjunto de eventos aislados. Los casos analizados demuestran que las fallas más críticas no surgen de errores puntuales, sino de procesos graduales como la desarticulación institucional, la presión por mostrar resultados y la normalización de prácticas riesgosas.</w:t>
      </w:r>
    </w:p>
    <w:p w:rsidR="05BEC4A4" w:rsidP="47AF4370" w:rsidRDefault="05BEC4A4" w14:paraId="307FE2E1" w14:textId="7D546F03">
      <w:pPr>
        <w:jc w:val="both"/>
      </w:pPr>
      <w:r w:rsidRPr="47AF4370">
        <w:rPr>
          <w:rFonts w:ascii="Aptos" w:hAnsi="Aptos" w:eastAsia="Aptos" w:cs="Aptos"/>
          <w:sz w:val="22"/>
          <w:szCs w:val="22"/>
        </w:rPr>
        <w:t>En el caso del programa Colombia Solar, esto implica que su principal desafío no es únicamente técnico o financiero, sino organizacional. En este sentido, se requiere fortalecer la capacidad de adaptación, el monitoreo constante y el aprendizaje institucional. La gestión del riesgo debe asumirse como un proceso estratégico, continuo y transversal, cuyo enfoque no se limite a mitigar fallas, sino que permita fortalecer la capacidad del Estado para anticiparse a ellas.</w:t>
      </w:r>
    </w:p>
    <w:p w:rsidR="05BEC4A4" w:rsidP="47AF4370" w:rsidRDefault="05BEC4A4" w14:paraId="6C7189C3" w14:textId="78A5E60B">
      <w:pPr>
        <w:jc w:val="both"/>
      </w:pPr>
      <w:r w:rsidRPr="47AF4370">
        <w:rPr>
          <w:rFonts w:ascii="Aptos" w:hAnsi="Aptos" w:eastAsia="Aptos" w:cs="Aptos"/>
          <w:sz w:val="22"/>
          <w:szCs w:val="22"/>
        </w:rPr>
        <w:t>Asimismo, se concluye que los enfoques tradicionales de gestión del riesgo resultan insuficientes si no se complementan con una visión integral que incorpore factores culturales, institucionales y de gobernanza. En este contexto, el monitoreo preventivo debe orientarse no solo al control de indicadores, sino a la comprensión de las dinámicas que generan el riesgo.</w:t>
      </w:r>
    </w:p>
    <w:p w:rsidR="05BEC4A4" w:rsidP="47AF4370" w:rsidRDefault="05BEC4A4" w14:paraId="25945E56" w14:textId="427FF9C6">
      <w:pPr>
        <w:jc w:val="both"/>
      </w:pPr>
      <w:r w:rsidRPr="47AF4370">
        <w:rPr>
          <w:rFonts w:ascii="Aptos" w:hAnsi="Aptos" w:eastAsia="Aptos" w:cs="Aptos"/>
          <w:sz w:val="22"/>
          <w:szCs w:val="22"/>
        </w:rPr>
        <w:t>Desde esta perspectiva, el monitoreo preventivo debe incorporar algunos elementos clave. En primer lugar, la implementación de sistemas de alertas tempranas basados en tendencias y no únicamente en resultados finales, que permitan identificar desviaciones progresivas. En segundo lugar, el seguimiento a la normalización de desviaciones, con el fin de evitar que prácticas inadecuadas se vuelvan rutinarias dentro del programa. En tercer lugar, la integración del monitoreo con la toma de decisiones, garantizando que las alertas generen acciones concretas. En cuarto lugar, el uso de indicadores de coordinación interinstitucional que midan no solo la ejecución, sino la calidad de la articulación entre actores. Finalmente, la realización de evaluaciones periódicas independientes, que permitan identificar riesgos no visibles desde el interior del programa.</w:t>
      </w:r>
    </w:p>
    <w:p w:rsidRPr="00B77022" w:rsidR="00717583" w:rsidP="00A7003C" w:rsidRDefault="05BEC4A4" w14:paraId="17FFD7EB" w14:textId="57E689B5">
      <w:pPr>
        <w:jc w:val="both"/>
      </w:pPr>
      <w:r w:rsidRPr="47AF4370">
        <w:rPr>
          <w:rFonts w:ascii="Aptos" w:hAnsi="Aptos" w:eastAsia="Aptos" w:cs="Aptos"/>
          <w:sz w:val="22"/>
          <w:szCs w:val="22"/>
        </w:rPr>
        <w:t>Finalmente, el documento deja una idea central: los riesgos más relevantes no son los visibles en las etapas iniciales, sino aquellos que se configuran progresivamente en el funcionamiento del programa. Por ello, más que reaccionar ante los problemas, el reto está en anticiparlos, interpretarlos y corregirlos oportunamente, lo cual resulta clave para la sostenibilidad y efectividad de la política pública en el largo plazo.</w:t>
      </w:r>
    </w:p>
    <w:p w:rsidRPr="00AC0219" w:rsidR="00E656B4" w:rsidP="00C677C8" w:rsidRDefault="00D33A6A" w14:paraId="4A68B6B4" w14:textId="235660D6">
      <w:pPr>
        <w:pStyle w:val="Ttulo1"/>
        <w:numPr>
          <w:ilvl w:val="0"/>
          <w:numId w:val="32"/>
        </w:numPr>
        <w:jc w:val="center"/>
        <w:rPr>
          <w:rFonts w:asciiTheme="minorHAnsi" w:hAnsiTheme="minorHAnsi"/>
          <w:b/>
          <w:bCs/>
          <w:color w:val="auto"/>
          <w:sz w:val="24"/>
          <w:szCs w:val="24"/>
        </w:rPr>
      </w:pPr>
      <w:bookmarkStart w:name="_Toc225160626" w:id="31"/>
      <w:r w:rsidRPr="00AC0219">
        <w:rPr>
          <w:rFonts w:asciiTheme="minorHAnsi" w:hAnsiTheme="minorHAnsi"/>
          <w:b/>
          <w:bCs/>
          <w:color w:val="auto"/>
          <w:sz w:val="24"/>
          <w:szCs w:val="24"/>
        </w:rPr>
        <w:t>ANEXOS</w:t>
      </w:r>
      <w:bookmarkEnd w:id="31"/>
    </w:p>
    <w:p w:rsidRPr="00AC0219" w:rsidR="009A06FB" w:rsidP="009A06FB" w:rsidRDefault="009A06FB" w14:paraId="4713BB4E" w14:textId="77777777"/>
    <w:p w:rsidRPr="00A95873" w:rsidR="00A95873" w:rsidP="00D15BBB" w:rsidRDefault="00A95873" w14:paraId="0EB2B55B" w14:textId="5D2BC519">
      <w:pPr>
        <w:pStyle w:val="Prrafodelista"/>
        <w:numPr>
          <w:ilvl w:val="1"/>
          <w:numId w:val="33"/>
        </w:numPr>
        <w:ind w:left="851" w:hanging="851"/>
        <w:jc w:val="both"/>
      </w:pPr>
      <w:r w:rsidRPr="00A95873">
        <w:rPr>
          <w:rFonts w:eastAsiaTheme="majorEastAsia" w:cstheme="majorBidi"/>
          <w:sz w:val="22"/>
          <w:szCs w:val="22"/>
        </w:rPr>
        <w:t xml:space="preserve">RO - ANEXO 1. MATRIZ DE IDENTIFICACIÓN DE RIESGO ORGANIZACIONAL </w:t>
      </w:r>
    </w:p>
    <w:p w:rsidR="00FD0FAB" w:rsidP="47AF4370" w:rsidRDefault="00A95873" w14:paraId="136A9955" w14:textId="5CC1DCBA">
      <w:pPr>
        <w:pStyle w:val="Prrafodelista"/>
        <w:numPr>
          <w:ilvl w:val="1"/>
          <w:numId w:val="33"/>
        </w:numPr>
        <w:ind w:left="851" w:hanging="851"/>
        <w:jc w:val="both"/>
      </w:pPr>
      <w:r w:rsidRPr="00A95873">
        <w:t xml:space="preserve">RO - ANEXO 2. ÁRBOL DE PROBLEMAS </w:t>
      </w:r>
    </w:p>
    <w:p w:rsidR="47AF4370" w:rsidP="47AF4370" w:rsidRDefault="47AF4370" w14:paraId="151A7CF8" w14:textId="6FAA66D0"/>
    <w:p w:rsidRPr="00AC0219" w:rsidR="001467E8" w:rsidP="00C677C8" w:rsidRDefault="001467E8" w14:paraId="1A1FEB97" w14:textId="540B0BD2">
      <w:pPr>
        <w:pStyle w:val="Prrafodelista"/>
        <w:numPr>
          <w:ilvl w:val="0"/>
          <w:numId w:val="32"/>
        </w:numPr>
        <w:jc w:val="center"/>
        <w:rPr>
          <w:b/>
          <w:bCs/>
          <w:sz w:val="22"/>
          <w:szCs w:val="22"/>
        </w:rPr>
      </w:pPr>
      <w:r w:rsidRPr="00AC0219">
        <w:rPr>
          <w:b/>
          <w:bCs/>
          <w:sz w:val="22"/>
          <w:szCs w:val="22"/>
        </w:rPr>
        <w:lastRenderedPageBreak/>
        <w:t>REFERENCIAS</w:t>
      </w:r>
    </w:p>
    <w:p w:rsidR="00531EF3" w:rsidP="00780204" w:rsidRDefault="00531EF3" w14:paraId="4D4F13F2" w14:textId="2EDABF94">
      <w:pPr>
        <w:spacing w:after="0"/>
        <w:jc w:val="both"/>
        <w:rPr>
          <w:b/>
          <w:bCs/>
          <w:sz w:val="22"/>
          <w:szCs w:val="22"/>
        </w:rPr>
      </w:pPr>
    </w:p>
    <w:p w:rsidRPr="00A73FC2" w:rsidR="00A73FC2" w:rsidP="00A73FC2" w:rsidRDefault="00A73FC2" w14:paraId="3140AD8E" w14:textId="77777777">
      <w:pPr>
        <w:spacing w:after="0"/>
        <w:jc w:val="both"/>
        <w:rPr>
          <w:sz w:val="22"/>
          <w:szCs w:val="22"/>
        </w:rPr>
      </w:pPr>
      <w:proofErr w:type="spellStart"/>
      <w:r w:rsidRPr="00A73FC2">
        <w:rPr>
          <w:sz w:val="22"/>
          <w:szCs w:val="22"/>
        </w:rPr>
        <w:t>Acemoglu</w:t>
      </w:r>
      <w:proofErr w:type="spellEnd"/>
      <w:r w:rsidRPr="00A73FC2">
        <w:rPr>
          <w:sz w:val="22"/>
          <w:szCs w:val="22"/>
        </w:rPr>
        <w:t xml:space="preserve">, D., &amp; Robinson, J. A. (2012). Why </w:t>
      </w:r>
      <w:proofErr w:type="spellStart"/>
      <w:r w:rsidRPr="00A73FC2">
        <w:rPr>
          <w:sz w:val="22"/>
          <w:szCs w:val="22"/>
        </w:rPr>
        <w:t>nations</w:t>
      </w:r>
      <w:proofErr w:type="spellEnd"/>
      <w:r w:rsidRPr="00A73FC2">
        <w:rPr>
          <w:sz w:val="22"/>
          <w:szCs w:val="22"/>
        </w:rPr>
        <w:t xml:space="preserve"> </w:t>
      </w:r>
      <w:proofErr w:type="spellStart"/>
      <w:r w:rsidRPr="00A73FC2">
        <w:rPr>
          <w:sz w:val="22"/>
          <w:szCs w:val="22"/>
        </w:rPr>
        <w:t>fail</w:t>
      </w:r>
      <w:proofErr w:type="spellEnd"/>
      <w:r w:rsidRPr="00A73FC2">
        <w:rPr>
          <w:sz w:val="22"/>
          <w:szCs w:val="22"/>
        </w:rPr>
        <w:t xml:space="preserve">: The </w:t>
      </w:r>
      <w:proofErr w:type="spellStart"/>
      <w:r w:rsidRPr="00A73FC2">
        <w:rPr>
          <w:sz w:val="22"/>
          <w:szCs w:val="22"/>
        </w:rPr>
        <w:t>origins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power</w:t>
      </w:r>
      <w:proofErr w:type="spellEnd"/>
      <w:r w:rsidRPr="00A73FC2">
        <w:rPr>
          <w:sz w:val="22"/>
          <w:szCs w:val="22"/>
        </w:rPr>
        <w:t xml:space="preserve">, </w:t>
      </w:r>
      <w:proofErr w:type="spellStart"/>
      <w:r w:rsidRPr="00A73FC2">
        <w:rPr>
          <w:sz w:val="22"/>
          <w:szCs w:val="22"/>
        </w:rPr>
        <w:t>prosperity</w:t>
      </w:r>
      <w:proofErr w:type="spellEnd"/>
      <w:r w:rsidRPr="00A73FC2">
        <w:rPr>
          <w:sz w:val="22"/>
          <w:szCs w:val="22"/>
        </w:rPr>
        <w:t xml:space="preserve">, and </w:t>
      </w:r>
      <w:proofErr w:type="spellStart"/>
      <w:r w:rsidRPr="00A73FC2">
        <w:rPr>
          <w:sz w:val="22"/>
          <w:szCs w:val="22"/>
        </w:rPr>
        <w:t>poverty</w:t>
      </w:r>
      <w:proofErr w:type="spellEnd"/>
      <w:r w:rsidRPr="00A73FC2">
        <w:rPr>
          <w:sz w:val="22"/>
          <w:szCs w:val="22"/>
        </w:rPr>
        <w:t>. Crown Publishing.</w:t>
      </w:r>
    </w:p>
    <w:p w:rsidRPr="00A73FC2" w:rsidR="00A73FC2" w:rsidP="00A73FC2" w:rsidRDefault="00A73FC2" w14:paraId="194EEF0A" w14:textId="77777777">
      <w:pPr>
        <w:spacing w:after="0"/>
        <w:jc w:val="both"/>
        <w:rPr>
          <w:sz w:val="22"/>
          <w:szCs w:val="22"/>
        </w:rPr>
      </w:pPr>
    </w:p>
    <w:p w:rsidRPr="00A73FC2" w:rsidR="00A73FC2" w:rsidP="00A73FC2" w:rsidRDefault="00A73FC2" w14:paraId="04350CEE" w14:textId="77777777">
      <w:pPr>
        <w:spacing w:after="0"/>
        <w:jc w:val="both"/>
        <w:rPr>
          <w:sz w:val="22"/>
          <w:szCs w:val="22"/>
        </w:rPr>
      </w:pPr>
      <w:proofErr w:type="spellStart"/>
      <w:r w:rsidRPr="00A73FC2">
        <w:rPr>
          <w:sz w:val="22"/>
          <w:szCs w:val="22"/>
        </w:rPr>
        <w:t>Adeforiti</w:t>
      </w:r>
      <w:proofErr w:type="spellEnd"/>
      <w:r w:rsidRPr="00A73FC2">
        <w:rPr>
          <w:sz w:val="22"/>
          <w:szCs w:val="22"/>
        </w:rPr>
        <w:t xml:space="preserve">, R., &amp; Abang, S. (2023). </w:t>
      </w:r>
      <w:proofErr w:type="spellStart"/>
      <w:r w:rsidRPr="00A73FC2">
        <w:rPr>
          <w:sz w:val="22"/>
          <w:szCs w:val="22"/>
        </w:rPr>
        <w:t>Analysis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fossil</w:t>
      </w:r>
      <w:proofErr w:type="spellEnd"/>
      <w:r w:rsidRPr="00A73FC2">
        <w:rPr>
          <w:sz w:val="22"/>
          <w:szCs w:val="22"/>
        </w:rPr>
        <w:t xml:space="preserve"> fuel </w:t>
      </w:r>
      <w:proofErr w:type="spellStart"/>
      <w:r w:rsidRPr="00A73FC2">
        <w:rPr>
          <w:sz w:val="22"/>
          <w:szCs w:val="22"/>
        </w:rPr>
        <w:t>subsidy</w:t>
      </w:r>
      <w:proofErr w:type="spellEnd"/>
      <w:r w:rsidRPr="00A73FC2">
        <w:rPr>
          <w:sz w:val="22"/>
          <w:szCs w:val="22"/>
        </w:rPr>
        <w:t xml:space="preserve"> </w:t>
      </w:r>
      <w:proofErr w:type="spellStart"/>
      <w:r w:rsidRPr="00A73FC2">
        <w:rPr>
          <w:sz w:val="22"/>
          <w:szCs w:val="22"/>
        </w:rPr>
        <w:t>removal</w:t>
      </w:r>
      <w:proofErr w:type="spellEnd"/>
      <w:r w:rsidRPr="00A73FC2">
        <w:rPr>
          <w:sz w:val="22"/>
          <w:szCs w:val="22"/>
        </w:rPr>
        <w:t xml:space="preserve"> </w:t>
      </w:r>
      <w:proofErr w:type="spellStart"/>
      <w:r w:rsidRPr="00A73FC2">
        <w:rPr>
          <w:sz w:val="22"/>
          <w:szCs w:val="22"/>
        </w:rPr>
        <w:t>policy</w:t>
      </w:r>
      <w:proofErr w:type="spellEnd"/>
      <w:r w:rsidRPr="00A73FC2">
        <w:rPr>
          <w:sz w:val="22"/>
          <w:szCs w:val="22"/>
        </w:rPr>
        <w:t xml:space="preserve"> in Nigeria. </w:t>
      </w:r>
      <w:proofErr w:type="spellStart"/>
      <w:r w:rsidRPr="00A73FC2">
        <w:rPr>
          <w:sz w:val="22"/>
          <w:szCs w:val="22"/>
        </w:rPr>
        <w:t>Journal</w:t>
      </w:r>
      <w:proofErr w:type="spellEnd"/>
      <w:r w:rsidRPr="00A73FC2">
        <w:rPr>
          <w:sz w:val="22"/>
          <w:szCs w:val="22"/>
        </w:rPr>
        <w:t xml:space="preserve"> of </w:t>
      </w:r>
      <w:proofErr w:type="spellStart"/>
      <w:r w:rsidRPr="00A73FC2">
        <w:rPr>
          <w:sz w:val="22"/>
          <w:szCs w:val="22"/>
        </w:rPr>
        <w:t>Governance</w:t>
      </w:r>
      <w:proofErr w:type="spellEnd"/>
      <w:r w:rsidRPr="00A73FC2">
        <w:rPr>
          <w:sz w:val="22"/>
          <w:szCs w:val="22"/>
        </w:rPr>
        <w:t xml:space="preserve"> and Public </w:t>
      </w:r>
      <w:proofErr w:type="spellStart"/>
      <w:r w:rsidRPr="00A73FC2">
        <w:rPr>
          <w:sz w:val="22"/>
          <w:szCs w:val="22"/>
        </w:rPr>
        <w:t>Affairs</w:t>
      </w:r>
      <w:proofErr w:type="spellEnd"/>
      <w:r w:rsidRPr="00A73FC2">
        <w:rPr>
          <w:sz w:val="22"/>
          <w:szCs w:val="22"/>
        </w:rPr>
        <w:t>.</w:t>
      </w:r>
    </w:p>
    <w:p w:rsidRPr="00A73FC2" w:rsidR="00A73FC2" w:rsidP="00A73FC2" w:rsidRDefault="00A73FC2" w14:paraId="023DC614" w14:textId="77777777">
      <w:pPr>
        <w:spacing w:after="0"/>
        <w:jc w:val="both"/>
        <w:rPr>
          <w:sz w:val="22"/>
          <w:szCs w:val="22"/>
        </w:rPr>
      </w:pPr>
    </w:p>
    <w:p w:rsidR="00A73FC2" w:rsidP="00A73FC2" w:rsidRDefault="00A73FC2" w14:paraId="16E4A8E9" w14:textId="51D79668">
      <w:pPr>
        <w:spacing w:after="0"/>
        <w:jc w:val="both"/>
        <w:rPr>
          <w:sz w:val="22"/>
          <w:szCs w:val="22"/>
        </w:rPr>
      </w:pPr>
      <w:r w:rsidRPr="00A73FC2">
        <w:rPr>
          <w:sz w:val="22"/>
          <w:szCs w:val="22"/>
        </w:rPr>
        <w:t xml:space="preserve">Agencia de Protección Ambiental. (2015). Volkswagen </w:t>
      </w:r>
      <w:proofErr w:type="spellStart"/>
      <w:r w:rsidRPr="00A73FC2">
        <w:rPr>
          <w:sz w:val="22"/>
          <w:szCs w:val="22"/>
        </w:rPr>
        <w:t>Clean</w:t>
      </w:r>
      <w:proofErr w:type="spellEnd"/>
      <w:r w:rsidRPr="00A73FC2">
        <w:rPr>
          <w:sz w:val="22"/>
          <w:szCs w:val="22"/>
        </w:rPr>
        <w:t xml:space="preserve"> Air </w:t>
      </w:r>
      <w:proofErr w:type="spellStart"/>
      <w:r w:rsidRPr="00A73FC2">
        <w:rPr>
          <w:sz w:val="22"/>
          <w:szCs w:val="22"/>
        </w:rPr>
        <w:t>Act</w:t>
      </w:r>
      <w:proofErr w:type="spellEnd"/>
      <w:r w:rsidRPr="00A73FC2">
        <w:rPr>
          <w:sz w:val="22"/>
          <w:szCs w:val="22"/>
        </w:rPr>
        <w:t xml:space="preserve"> civil </w:t>
      </w:r>
      <w:proofErr w:type="spellStart"/>
      <w:r w:rsidRPr="00A73FC2">
        <w:rPr>
          <w:sz w:val="22"/>
          <w:szCs w:val="22"/>
        </w:rPr>
        <w:t>settlement</w:t>
      </w:r>
      <w:proofErr w:type="spellEnd"/>
      <w:r w:rsidRPr="00A73FC2">
        <w:rPr>
          <w:sz w:val="22"/>
          <w:szCs w:val="22"/>
        </w:rPr>
        <w:t xml:space="preserve">. </w:t>
      </w:r>
      <w:hyperlink w:history="1" r:id="rId22">
        <w:r w:rsidRPr="00A042E6" w:rsidR="00315FD8">
          <w:rPr>
            <w:rStyle w:val="Hipervnculo"/>
            <w:sz w:val="22"/>
            <w:szCs w:val="22"/>
          </w:rPr>
          <w:t>https://www.epa.gov</w:t>
        </w:r>
      </w:hyperlink>
    </w:p>
    <w:p w:rsidR="00315FD8" w:rsidP="00A73FC2" w:rsidRDefault="00315FD8" w14:paraId="5647B44B" w14:textId="77777777">
      <w:pPr>
        <w:spacing w:after="0"/>
        <w:jc w:val="both"/>
        <w:rPr>
          <w:sz w:val="22"/>
          <w:szCs w:val="22"/>
        </w:rPr>
      </w:pPr>
    </w:p>
    <w:p w:rsidRPr="00A73FC2" w:rsidR="00A73FC2" w:rsidP="00A73FC2" w:rsidRDefault="00A73FC2" w14:paraId="31C03524" w14:textId="77777777">
      <w:pPr>
        <w:spacing w:after="0"/>
        <w:jc w:val="both"/>
        <w:rPr>
          <w:sz w:val="22"/>
          <w:szCs w:val="22"/>
        </w:rPr>
      </w:pPr>
      <w:r w:rsidRPr="00A73FC2">
        <w:rPr>
          <w:sz w:val="22"/>
          <w:szCs w:val="22"/>
        </w:rPr>
        <w:t xml:space="preserve">Ansoff, H. I. (1979). Gestión estratégica. </w:t>
      </w:r>
      <w:proofErr w:type="spellStart"/>
      <w:r w:rsidRPr="00A73FC2">
        <w:rPr>
          <w:sz w:val="22"/>
          <w:szCs w:val="22"/>
        </w:rPr>
        <w:t>Palgrave</w:t>
      </w:r>
      <w:proofErr w:type="spellEnd"/>
      <w:r w:rsidRPr="00A73FC2">
        <w:rPr>
          <w:sz w:val="22"/>
          <w:szCs w:val="22"/>
        </w:rPr>
        <w:t xml:space="preserve"> Macmillan.</w:t>
      </w:r>
    </w:p>
    <w:p w:rsidRPr="00A73FC2" w:rsidR="00A73FC2" w:rsidP="00A73FC2" w:rsidRDefault="00A73FC2" w14:paraId="35C36DB6" w14:textId="77777777">
      <w:pPr>
        <w:spacing w:after="0"/>
        <w:jc w:val="both"/>
        <w:rPr>
          <w:sz w:val="22"/>
          <w:szCs w:val="22"/>
        </w:rPr>
      </w:pPr>
    </w:p>
    <w:p w:rsidRPr="00A73FC2" w:rsidR="00A73FC2" w:rsidP="00A73FC2" w:rsidRDefault="00A73FC2" w14:paraId="2554AB79" w14:textId="77777777">
      <w:pPr>
        <w:spacing w:after="0"/>
        <w:jc w:val="both"/>
        <w:rPr>
          <w:sz w:val="22"/>
          <w:szCs w:val="22"/>
        </w:rPr>
      </w:pPr>
      <w:r w:rsidRPr="00A73FC2">
        <w:rPr>
          <w:sz w:val="22"/>
          <w:szCs w:val="22"/>
        </w:rPr>
        <w:t>Ansoff, H. I., &amp; McDonnell, E. J. (1990). Implementación de la gestión estratégica. Prentice Hall.</w:t>
      </w:r>
    </w:p>
    <w:p w:rsidRPr="00A73FC2" w:rsidR="00A73FC2" w:rsidP="00A73FC2" w:rsidRDefault="00A73FC2" w14:paraId="3C42F7F4" w14:textId="77777777">
      <w:pPr>
        <w:spacing w:after="0"/>
        <w:jc w:val="both"/>
        <w:rPr>
          <w:sz w:val="22"/>
          <w:szCs w:val="22"/>
        </w:rPr>
      </w:pPr>
    </w:p>
    <w:p w:rsidRPr="00A73FC2" w:rsidR="00A73FC2" w:rsidP="00A73FC2" w:rsidRDefault="00A73FC2" w14:paraId="702F31EA" w14:textId="77777777">
      <w:pPr>
        <w:spacing w:after="0"/>
        <w:jc w:val="both"/>
        <w:rPr>
          <w:sz w:val="22"/>
          <w:szCs w:val="22"/>
        </w:rPr>
      </w:pPr>
      <w:r w:rsidRPr="00A73FC2">
        <w:rPr>
          <w:sz w:val="22"/>
          <w:szCs w:val="22"/>
        </w:rPr>
        <w:t xml:space="preserve">Bardach, E. (2012). A </w:t>
      </w:r>
      <w:proofErr w:type="spellStart"/>
      <w:r w:rsidRPr="00A73FC2">
        <w:rPr>
          <w:sz w:val="22"/>
          <w:szCs w:val="22"/>
        </w:rPr>
        <w:t>practical</w:t>
      </w:r>
      <w:proofErr w:type="spellEnd"/>
      <w:r w:rsidRPr="00A73FC2">
        <w:rPr>
          <w:sz w:val="22"/>
          <w:szCs w:val="22"/>
        </w:rPr>
        <w:t xml:space="preserve"> guide </w:t>
      </w:r>
      <w:proofErr w:type="spellStart"/>
      <w:r w:rsidRPr="00A73FC2">
        <w:rPr>
          <w:sz w:val="22"/>
          <w:szCs w:val="22"/>
        </w:rPr>
        <w:t>for</w:t>
      </w:r>
      <w:proofErr w:type="spellEnd"/>
      <w:r w:rsidRPr="00A73FC2">
        <w:rPr>
          <w:sz w:val="22"/>
          <w:szCs w:val="22"/>
        </w:rPr>
        <w:t xml:space="preserve"> </w:t>
      </w:r>
      <w:proofErr w:type="spellStart"/>
      <w:r w:rsidRPr="00A73FC2">
        <w:rPr>
          <w:sz w:val="22"/>
          <w:szCs w:val="22"/>
        </w:rPr>
        <w:t>policy</w:t>
      </w:r>
      <w:proofErr w:type="spellEnd"/>
      <w:r w:rsidRPr="00A73FC2">
        <w:rPr>
          <w:sz w:val="22"/>
          <w:szCs w:val="22"/>
        </w:rPr>
        <w:t xml:space="preserve"> </w:t>
      </w:r>
      <w:proofErr w:type="spellStart"/>
      <w:r w:rsidRPr="00A73FC2">
        <w:rPr>
          <w:sz w:val="22"/>
          <w:szCs w:val="22"/>
        </w:rPr>
        <w:t>analysis</w:t>
      </w:r>
      <w:proofErr w:type="spellEnd"/>
      <w:r w:rsidRPr="00A73FC2">
        <w:rPr>
          <w:sz w:val="22"/>
          <w:szCs w:val="22"/>
        </w:rPr>
        <w:t xml:space="preserve">: The </w:t>
      </w:r>
      <w:proofErr w:type="spellStart"/>
      <w:r w:rsidRPr="00A73FC2">
        <w:rPr>
          <w:sz w:val="22"/>
          <w:szCs w:val="22"/>
        </w:rPr>
        <w:t>eightfold</w:t>
      </w:r>
      <w:proofErr w:type="spellEnd"/>
      <w:r w:rsidRPr="00A73FC2">
        <w:rPr>
          <w:sz w:val="22"/>
          <w:szCs w:val="22"/>
        </w:rPr>
        <w:t xml:space="preserve"> </w:t>
      </w:r>
      <w:proofErr w:type="spellStart"/>
      <w:r w:rsidRPr="00A73FC2">
        <w:rPr>
          <w:sz w:val="22"/>
          <w:szCs w:val="22"/>
        </w:rPr>
        <w:t>path</w:t>
      </w:r>
      <w:proofErr w:type="spellEnd"/>
      <w:r w:rsidRPr="00A73FC2">
        <w:rPr>
          <w:sz w:val="22"/>
          <w:szCs w:val="22"/>
        </w:rPr>
        <w:t xml:space="preserve"> </w:t>
      </w:r>
      <w:proofErr w:type="spellStart"/>
      <w:r w:rsidRPr="00A73FC2">
        <w:rPr>
          <w:sz w:val="22"/>
          <w:szCs w:val="22"/>
        </w:rPr>
        <w:t>to</w:t>
      </w:r>
      <w:proofErr w:type="spellEnd"/>
      <w:r w:rsidRPr="00A73FC2">
        <w:rPr>
          <w:sz w:val="22"/>
          <w:szCs w:val="22"/>
        </w:rPr>
        <w:t xml:space="preserve"> more </w:t>
      </w:r>
      <w:proofErr w:type="spellStart"/>
      <w:r w:rsidRPr="00A73FC2">
        <w:rPr>
          <w:sz w:val="22"/>
          <w:szCs w:val="22"/>
        </w:rPr>
        <w:t>effective</w:t>
      </w:r>
      <w:proofErr w:type="spellEnd"/>
      <w:r w:rsidRPr="00A73FC2">
        <w:rPr>
          <w:sz w:val="22"/>
          <w:szCs w:val="22"/>
        </w:rPr>
        <w:t xml:space="preserve"> </w:t>
      </w:r>
      <w:proofErr w:type="spellStart"/>
      <w:r w:rsidRPr="00A73FC2">
        <w:rPr>
          <w:sz w:val="22"/>
          <w:szCs w:val="22"/>
        </w:rPr>
        <w:t>problem</w:t>
      </w:r>
      <w:proofErr w:type="spellEnd"/>
      <w:r w:rsidRPr="00A73FC2">
        <w:rPr>
          <w:sz w:val="22"/>
          <w:szCs w:val="22"/>
        </w:rPr>
        <w:t xml:space="preserve"> </w:t>
      </w:r>
      <w:proofErr w:type="spellStart"/>
      <w:r w:rsidRPr="00A73FC2">
        <w:rPr>
          <w:sz w:val="22"/>
          <w:szCs w:val="22"/>
        </w:rPr>
        <w:t>solving</w:t>
      </w:r>
      <w:proofErr w:type="spellEnd"/>
      <w:r w:rsidRPr="00A73FC2">
        <w:rPr>
          <w:sz w:val="22"/>
          <w:szCs w:val="22"/>
        </w:rPr>
        <w:t xml:space="preserve"> (4th ed.). CQ Press.</w:t>
      </w:r>
    </w:p>
    <w:p w:rsidRPr="00A73FC2" w:rsidR="00A73FC2" w:rsidP="00A73FC2" w:rsidRDefault="00A73FC2" w14:paraId="5D9ADBE3" w14:textId="77777777">
      <w:pPr>
        <w:spacing w:after="0"/>
        <w:jc w:val="both"/>
        <w:rPr>
          <w:sz w:val="22"/>
          <w:szCs w:val="22"/>
        </w:rPr>
      </w:pPr>
    </w:p>
    <w:p w:rsidRPr="00A73FC2" w:rsidR="00A73FC2" w:rsidP="00A73FC2" w:rsidRDefault="00A73FC2" w14:paraId="18F2734D" w14:textId="77777777">
      <w:pPr>
        <w:spacing w:after="0"/>
        <w:jc w:val="both"/>
        <w:rPr>
          <w:sz w:val="22"/>
          <w:szCs w:val="22"/>
        </w:rPr>
      </w:pPr>
      <w:r w:rsidRPr="00A73FC2">
        <w:rPr>
          <w:sz w:val="22"/>
          <w:szCs w:val="22"/>
        </w:rPr>
        <w:t xml:space="preserve">Bardach, E., &amp; </w:t>
      </w:r>
      <w:proofErr w:type="spellStart"/>
      <w:r w:rsidRPr="00A73FC2">
        <w:rPr>
          <w:sz w:val="22"/>
          <w:szCs w:val="22"/>
        </w:rPr>
        <w:t>Patashnik</w:t>
      </w:r>
      <w:proofErr w:type="spellEnd"/>
      <w:r w:rsidRPr="00A73FC2">
        <w:rPr>
          <w:sz w:val="22"/>
          <w:szCs w:val="22"/>
        </w:rPr>
        <w:t xml:space="preserve">, E. M. (2020). A </w:t>
      </w:r>
      <w:proofErr w:type="spellStart"/>
      <w:r w:rsidRPr="00A73FC2">
        <w:rPr>
          <w:sz w:val="22"/>
          <w:szCs w:val="22"/>
        </w:rPr>
        <w:t>practical</w:t>
      </w:r>
      <w:proofErr w:type="spellEnd"/>
      <w:r w:rsidRPr="00A73FC2">
        <w:rPr>
          <w:sz w:val="22"/>
          <w:szCs w:val="22"/>
        </w:rPr>
        <w:t xml:space="preserve"> guide </w:t>
      </w:r>
      <w:proofErr w:type="spellStart"/>
      <w:r w:rsidRPr="00A73FC2">
        <w:rPr>
          <w:sz w:val="22"/>
          <w:szCs w:val="22"/>
        </w:rPr>
        <w:t>for</w:t>
      </w:r>
      <w:proofErr w:type="spellEnd"/>
      <w:r w:rsidRPr="00A73FC2">
        <w:rPr>
          <w:sz w:val="22"/>
          <w:szCs w:val="22"/>
        </w:rPr>
        <w:t xml:space="preserve"> </w:t>
      </w:r>
      <w:proofErr w:type="spellStart"/>
      <w:r w:rsidRPr="00A73FC2">
        <w:rPr>
          <w:sz w:val="22"/>
          <w:szCs w:val="22"/>
        </w:rPr>
        <w:t>policy</w:t>
      </w:r>
      <w:proofErr w:type="spellEnd"/>
      <w:r w:rsidRPr="00A73FC2">
        <w:rPr>
          <w:sz w:val="22"/>
          <w:szCs w:val="22"/>
        </w:rPr>
        <w:t xml:space="preserve"> </w:t>
      </w:r>
      <w:proofErr w:type="spellStart"/>
      <w:r w:rsidRPr="00A73FC2">
        <w:rPr>
          <w:sz w:val="22"/>
          <w:szCs w:val="22"/>
        </w:rPr>
        <w:t>analysis</w:t>
      </w:r>
      <w:proofErr w:type="spellEnd"/>
      <w:r w:rsidRPr="00A73FC2">
        <w:rPr>
          <w:sz w:val="22"/>
          <w:szCs w:val="22"/>
        </w:rPr>
        <w:t xml:space="preserve">: The </w:t>
      </w:r>
      <w:proofErr w:type="spellStart"/>
      <w:r w:rsidRPr="00A73FC2">
        <w:rPr>
          <w:sz w:val="22"/>
          <w:szCs w:val="22"/>
        </w:rPr>
        <w:t>eightfold</w:t>
      </w:r>
      <w:proofErr w:type="spellEnd"/>
      <w:r w:rsidRPr="00A73FC2">
        <w:rPr>
          <w:sz w:val="22"/>
          <w:szCs w:val="22"/>
        </w:rPr>
        <w:t xml:space="preserve"> </w:t>
      </w:r>
      <w:proofErr w:type="spellStart"/>
      <w:r w:rsidRPr="00A73FC2">
        <w:rPr>
          <w:sz w:val="22"/>
          <w:szCs w:val="22"/>
        </w:rPr>
        <w:t>path</w:t>
      </w:r>
      <w:proofErr w:type="spellEnd"/>
      <w:r w:rsidRPr="00A73FC2">
        <w:rPr>
          <w:sz w:val="22"/>
          <w:szCs w:val="22"/>
        </w:rPr>
        <w:t xml:space="preserve"> </w:t>
      </w:r>
      <w:proofErr w:type="spellStart"/>
      <w:r w:rsidRPr="00A73FC2">
        <w:rPr>
          <w:sz w:val="22"/>
          <w:szCs w:val="22"/>
        </w:rPr>
        <w:t>to</w:t>
      </w:r>
      <w:proofErr w:type="spellEnd"/>
      <w:r w:rsidRPr="00A73FC2">
        <w:rPr>
          <w:sz w:val="22"/>
          <w:szCs w:val="22"/>
        </w:rPr>
        <w:t xml:space="preserve"> more </w:t>
      </w:r>
      <w:proofErr w:type="spellStart"/>
      <w:r w:rsidRPr="00A73FC2">
        <w:rPr>
          <w:sz w:val="22"/>
          <w:szCs w:val="22"/>
        </w:rPr>
        <w:t>effective</w:t>
      </w:r>
      <w:proofErr w:type="spellEnd"/>
      <w:r w:rsidRPr="00A73FC2">
        <w:rPr>
          <w:sz w:val="22"/>
          <w:szCs w:val="22"/>
        </w:rPr>
        <w:t xml:space="preserve"> </w:t>
      </w:r>
      <w:proofErr w:type="spellStart"/>
      <w:r w:rsidRPr="00A73FC2">
        <w:rPr>
          <w:sz w:val="22"/>
          <w:szCs w:val="22"/>
        </w:rPr>
        <w:t>problem</w:t>
      </w:r>
      <w:proofErr w:type="spellEnd"/>
      <w:r w:rsidRPr="00A73FC2">
        <w:rPr>
          <w:sz w:val="22"/>
          <w:szCs w:val="22"/>
        </w:rPr>
        <w:t xml:space="preserve"> </w:t>
      </w:r>
      <w:proofErr w:type="spellStart"/>
      <w:r w:rsidRPr="00A73FC2">
        <w:rPr>
          <w:sz w:val="22"/>
          <w:szCs w:val="22"/>
        </w:rPr>
        <w:t>solving</w:t>
      </w:r>
      <w:proofErr w:type="spellEnd"/>
      <w:r w:rsidRPr="00A73FC2">
        <w:rPr>
          <w:sz w:val="22"/>
          <w:szCs w:val="22"/>
        </w:rPr>
        <w:t xml:space="preserve"> (6th ed.). CQ Press.</w:t>
      </w:r>
    </w:p>
    <w:p w:rsidRPr="00A73FC2" w:rsidR="00A73FC2" w:rsidP="00A73FC2" w:rsidRDefault="00A73FC2" w14:paraId="283E10AA" w14:textId="77777777">
      <w:pPr>
        <w:spacing w:after="0"/>
        <w:jc w:val="both"/>
        <w:rPr>
          <w:sz w:val="22"/>
          <w:szCs w:val="22"/>
        </w:rPr>
      </w:pPr>
    </w:p>
    <w:p w:rsidRPr="00A73FC2" w:rsidR="00A73FC2" w:rsidP="00A73FC2" w:rsidRDefault="00A73FC2" w14:paraId="70120C5E" w14:textId="77777777">
      <w:pPr>
        <w:spacing w:after="0"/>
        <w:jc w:val="both"/>
        <w:rPr>
          <w:sz w:val="22"/>
          <w:szCs w:val="22"/>
        </w:rPr>
      </w:pPr>
      <w:r w:rsidRPr="00A73FC2">
        <w:rPr>
          <w:sz w:val="22"/>
          <w:szCs w:val="22"/>
        </w:rPr>
        <w:t>Beck, U. (1996). La sociedad del riesgo. Paidós.</w:t>
      </w:r>
    </w:p>
    <w:p w:rsidRPr="00A73FC2" w:rsidR="00A73FC2" w:rsidP="00A73FC2" w:rsidRDefault="00A73FC2" w14:paraId="7F715E57" w14:textId="77777777">
      <w:pPr>
        <w:spacing w:after="0"/>
        <w:jc w:val="both"/>
        <w:rPr>
          <w:sz w:val="22"/>
          <w:szCs w:val="22"/>
        </w:rPr>
      </w:pPr>
    </w:p>
    <w:p w:rsidRPr="00A73FC2" w:rsidR="00A73FC2" w:rsidP="00A73FC2" w:rsidRDefault="00A73FC2" w14:paraId="3B3D3AE6" w14:textId="77777777">
      <w:pPr>
        <w:spacing w:after="0"/>
        <w:jc w:val="both"/>
        <w:rPr>
          <w:sz w:val="22"/>
          <w:szCs w:val="22"/>
        </w:rPr>
      </w:pPr>
      <w:r w:rsidRPr="00A73FC2">
        <w:rPr>
          <w:sz w:val="22"/>
          <w:szCs w:val="22"/>
        </w:rPr>
        <w:t>Behar-Villegas, E. (2021). Eficiencia del gasto público en América Latina. Banco Interamericano de Desarrollo.</w:t>
      </w:r>
    </w:p>
    <w:p w:rsidRPr="00A73FC2" w:rsidR="00A73FC2" w:rsidP="00A73FC2" w:rsidRDefault="00A73FC2" w14:paraId="370956CE" w14:textId="77777777">
      <w:pPr>
        <w:spacing w:after="0"/>
        <w:jc w:val="both"/>
        <w:rPr>
          <w:sz w:val="22"/>
          <w:szCs w:val="22"/>
        </w:rPr>
      </w:pPr>
    </w:p>
    <w:p w:rsidRPr="00A73FC2" w:rsidR="00A73FC2" w:rsidP="00A73FC2" w:rsidRDefault="00A73FC2" w14:paraId="7C540116" w14:textId="77777777">
      <w:pPr>
        <w:spacing w:after="0"/>
        <w:jc w:val="both"/>
        <w:rPr>
          <w:sz w:val="22"/>
          <w:szCs w:val="22"/>
        </w:rPr>
      </w:pPr>
      <w:r w:rsidRPr="00A73FC2">
        <w:rPr>
          <w:sz w:val="22"/>
          <w:szCs w:val="22"/>
        </w:rPr>
        <w:t>Bijker, W. E. (2008). La vulnerabilidad de la cultura tecnológica. Redes, 14(27), 117–140.</w:t>
      </w:r>
    </w:p>
    <w:p w:rsidRPr="00A73FC2" w:rsidR="00A73FC2" w:rsidP="00A73FC2" w:rsidRDefault="00A73FC2" w14:paraId="3DBAAA8B" w14:textId="77777777">
      <w:pPr>
        <w:spacing w:after="0"/>
        <w:jc w:val="both"/>
        <w:rPr>
          <w:sz w:val="22"/>
          <w:szCs w:val="22"/>
        </w:rPr>
      </w:pPr>
    </w:p>
    <w:p w:rsidRPr="00A73FC2" w:rsidR="00A73FC2" w:rsidP="00A73FC2" w:rsidRDefault="00A73FC2" w14:paraId="3D2D7295" w14:textId="77777777">
      <w:pPr>
        <w:spacing w:after="0"/>
        <w:jc w:val="both"/>
        <w:rPr>
          <w:sz w:val="22"/>
          <w:szCs w:val="22"/>
        </w:rPr>
      </w:pPr>
      <w:r w:rsidRPr="00A73FC2">
        <w:rPr>
          <w:sz w:val="22"/>
          <w:szCs w:val="22"/>
        </w:rPr>
        <w:t xml:space="preserve">BP. (2010). </w:t>
      </w:r>
      <w:proofErr w:type="spellStart"/>
      <w:r w:rsidRPr="00A73FC2">
        <w:rPr>
          <w:sz w:val="22"/>
          <w:szCs w:val="22"/>
        </w:rPr>
        <w:t>Deepwater</w:t>
      </w:r>
      <w:proofErr w:type="spellEnd"/>
      <w:r w:rsidRPr="00A73FC2">
        <w:rPr>
          <w:sz w:val="22"/>
          <w:szCs w:val="22"/>
        </w:rPr>
        <w:t xml:space="preserve"> Horizon </w:t>
      </w:r>
      <w:proofErr w:type="spellStart"/>
      <w:r w:rsidRPr="00A73FC2">
        <w:rPr>
          <w:sz w:val="22"/>
          <w:szCs w:val="22"/>
        </w:rPr>
        <w:t>accident</w:t>
      </w:r>
      <w:proofErr w:type="spellEnd"/>
      <w:r w:rsidRPr="00A73FC2">
        <w:rPr>
          <w:sz w:val="22"/>
          <w:szCs w:val="22"/>
        </w:rPr>
        <w:t xml:space="preserve"> </w:t>
      </w:r>
      <w:proofErr w:type="spellStart"/>
      <w:r w:rsidRPr="00A73FC2">
        <w:rPr>
          <w:sz w:val="22"/>
          <w:szCs w:val="22"/>
        </w:rPr>
        <w:t>investigation</w:t>
      </w:r>
      <w:proofErr w:type="spellEnd"/>
      <w:r w:rsidRPr="00A73FC2">
        <w:rPr>
          <w:sz w:val="22"/>
          <w:szCs w:val="22"/>
        </w:rPr>
        <w:t xml:space="preserve"> </w:t>
      </w:r>
      <w:proofErr w:type="spellStart"/>
      <w:r w:rsidRPr="00A73FC2">
        <w:rPr>
          <w:sz w:val="22"/>
          <w:szCs w:val="22"/>
        </w:rPr>
        <w:t>report</w:t>
      </w:r>
      <w:proofErr w:type="spellEnd"/>
      <w:r w:rsidRPr="00A73FC2">
        <w:rPr>
          <w:sz w:val="22"/>
          <w:szCs w:val="22"/>
        </w:rPr>
        <w:t xml:space="preserve">. BP </w:t>
      </w:r>
      <w:proofErr w:type="spellStart"/>
      <w:r w:rsidRPr="00A73FC2">
        <w:rPr>
          <w:sz w:val="22"/>
          <w:szCs w:val="22"/>
        </w:rPr>
        <w:t>Exploration</w:t>
      </w:r>
      <w:proofErr w:type="spellEnd"/>
      <w:r w:rsidRPr="00A73FC2">
        <w:rPr>
          <w:sz w:val="22"/>
          <w:szCs w:val="22"/>
        </w:rPr>
        <w:t xml:space="preserve"> &amp; </w:t>
      </w:r>
      <w:proofErr w:type="spellStart"/>
      <w:r w:rsidRPr="00A73FC2">
        <w:rPr>
          <w:sz w:val="22"/>
          <w:szCs w:val="22"/>
        </w:rPr>
        <w:t>Production</w:t>
      </w:r>
      <w:proofErr w:type="spellEnd"/>
      <w:r w:rsidRPr="00A73FC2">
        <w:rPr>
          <w:sz w:val="22"/>
          <w:szCs w:val="22"/>
        </w:rPr>
        <w:t xml:space="preserve"> Inc.</w:t>
      </w:r>
    </w:p>
    <w:p w:rsidRPr="00A73FC2" w:rsidR="00A73FC2" w:rsidP="00A73FC2" w:rsidRDefault="00A73FC2" w14:paraId="1391A10A" w14:textId="77777777">
      <w:pPr>
        <w:spacing w:after="0"/>
        <w:jc w:val="both"/>
        <w:rPr>
          <w:sz w:val="22"/>
          <w:szCs w:val="22"/>
        </w:rPr>
      </w:pPr>
    </w:p>
    <w:p w:rsidRPr="00A73FC2" w:rsidR="00A73FC2" w:rsidP="00A73FC2" w:rsidRDefault="00A73FC2" w14:paraId="54DBA71E" w14:textId="77777777">
      <w:pPr>
        <w:spacing w:after="0"/>
        <w:jc w:val="both"/>
        <w:rPr>
          <w:sz w:val="22"/>
          <w:szCs w:val="22"/>
        </w:rPr>
      </w:pPr>
      <w:r w:rsidRPr="00A73FC2">
        <w:rPr>
          <w:sz w:val="22"/>
          <w:szCs w:val="22"/>
        </w:rPr>
        <w:t xml:space="preserve">Bratt, S. (2022). The </w:t>
      </w:r>
      <w:proofErr w:type="spellStart"/>
      <w:r w:rsidRPr="00A73FC2">
        <w:rPr>
          <w:sz w:val="22"/>
          <w:szCs w:val="22"/>
        </w:rPr>
        <w:t>exploitations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NDAs</w:t>
      </w:r>
      <w:proofErr w:type="spellEnd"/>
      <w:r w:rsidRPr="00A73FC2">
        <w:rPr>
          <w:sz w:val="22"/>
          <w:szCs w:val="22"/>
        </w:rPr>
        <w:t xml:space="preserve"> in </w:t>
      </w:r>
      <w:proofErr w:type="spellStart"/>
      <w:r w:rsidRPr="00A73FC2">
        <w:rPr>
          <w:sz w:val="22"/>
          <w:szCs w:val="22"/>
        </w:rPr>
        <w:t>Theranos</w:t>
      </w:r>
      <w:proofErr w:type="spellEnd"/>
      <w:r w:rsidRPr="00A73FC2">
        <w:rPr>
          <w:sz w:val="22"/>
          <w:szCs w:val="22"/>
        </w:rPr>
        <w:t xml:space="preserve">: </w:t>
      </w:r>
      <w:proofErr w:type="spellStart"/>
      <w:r w:rsidRPr="00A73FC2">
        <w:rPr>
          <w:sz w:val="22"/>
          <w:szCs w:val="22"/>
        </w:rPr>
        <w:t>Exposing</w:t>
      </w:r>
      <w:proofErr w:type="spellEnd"/>
      <w:r w:rsidRPr="00A73FC2">
        <w:rPr>
          <w:sz w:val="22"/>
          <w:szCs w:val="22"/>
        </w:rPr>
        <w:t xml:space="preserve"> </w:t>
      </w:r>
      <w:proofErr w:type="spellStart"/>
      <w:r w:rsidRPr="00A73FC2">
        <w:rPr>
          <w:sz w:val="22"/>
          <w:szCs w:val="22"/>
        </w:rPr>
        <w:t>the</w:t>
      </w:r>
      <w:proofErr w:type="spellEnd"/>
      <w:r w:rsidRPr="00A73FC2">
        <w:rPr>
          <w:sz w:val="22"/>
          <w:szCs w:val="22"/>
        </w:rPr>
        <w:t xml:space="preserve"> gaps in DTSA. Cardozo International &amp; Comparative Law </w:t>
      </w:r>
      <w:proofErr w:type="spellStart"/>
      <w:r w:rsidRPr="00A73FC2">
        <w:rPr>
          <w:sz w:val="22"/>
          <w:szCs w:val="22"/>
        </w:rPr>
        <w:t>Review</w:t>
      </w:r>
      <w:proofErr w:type="spellEnd"/>
      <w:r w:rsidRPr="00A73FC2">
        <w:rPr>
          <w:sz w:val="22"/>
          <w:szCs w:val="22"/>
        </w:rPr>
        <w:t>.</w:t>
      </w:r>
    </w:p>
    <w:p w:rsidRPr="00A73FC2" w:rsidR="00A73FC2" w:rsidP="00A73FC2" w:rsidRDefault="00A73FC2" w14:paraId="09A7035E" w14:textId="77777777">
      <w:pPr>
        <w:spacing w:after="0"/>
        <w:jc w:val="both"/>
        <w:rPr>
          <w:sz w:val="22"/>
          <w:szCs w:val="22"/>
        </w:rPr>
      </w:pPr>
    </w:p>
    <w:p w:rsidRPr="00A73FC2" w:rsidR="00A73FC2" w:rsidP="00A73FC2" w:rsidRDefault="00A73FC2" w14:paraId="6738DBFA" w14:textId="77777777">
      <w:pPr>
        <w:spacing w:after="0"/>
        <w:jc w:val="both"/>
        <w:rPr>
          <w:sz w:val="22"/>
          <w:szCs w:val="22"/>
        </w:rPr>
      </w:pPr>
      <w:r w:rsidRPr="00A73FC2">
        <w:rPr>
          <w:sz w:val="22"/>
          <w:szCs w:val="22"/>
        </w:rPr>
        <w:t xml:space="preserve">Bryson, J. M. (2018). </w:t>
      </w:r>
      <w:proofErr w:type="spellStart"/>
      <w:r w:rsidRPr="00A73FC2">
        <w:rPr>
          <w:sz w:val="22"/>
          <w:szCs w:val="22"/>
        </w:rPr>
        <w:t>Strategic</w:t>
      </w:r>
      <w:proofErr w:type="spellEnd"/>
      <w:r w:rsidRPr="00A73FC2">
        <w:rPr>
          <w:sz w:val="22"/>
          <w:szCs w:val="22"/>
        </w:rPr>
        <w:t xml:space="preserve"> </w:t>
      </w:r>
      <w:proofErr w:type="spellStart"/>
      <w:r w:rsidRPr="00A73FC2">
        <w:rPr>
          <w:sz w:val="22"/>
          <w:szCs w:val="22"/>
        </w:rPr>
        <w:t>planning</w:t>
      </w:r>
      <w:proofErr w:type="spellEnd"/>
      <w:r w:rsidRPr="00A73FC2">
        <w:rPr>
          <w:sz w:val="22"/>
          <w:szCs w:val="22"/>
        </w:rPr>
        <w:t xml:space="preserve"> </w:t>
      </w:r>
      <w:proofErr w:type="spellStart"/>
      <w:r w:rsidRPr="00A73FC2">
        <w:rPr>
          <w:sz w:val="22"/>
          <w:szCs w:val="22"/>
        </w:rPr>
        <w:t>for</w:t>
      </w:r>
      <w:proofErr w:type="spellEnd"/>
      <w:r w:rsidRPr="00A73FC2">
        <w:rPr>
          <w:sz w:val="22"/>
          <w:szCs w:val="22"/>
        </w:rPr>
        <w:t xml:space="preserve"> </w:t>
      </w:r>
      <w:proofErr w:type="spellStart"/>
      <w:r w:rsidRPr="00A73FC2">
        <w:rPr>
          <w:sz w:val="22"/>
          <w:szCs w:val="22"/>
        </w:rPr>
        <w:t>public</w:t>
      </w:r>
      <w:proofErr w:type="spellEnd"/>
      <w:r w:rsidRPr="00A73FC2">
        <w:rPr>
          <w:sz w:val="22"/>
          <w:szCs w:val="22"/>
        </w:rPr>
        <w:t xml:space="preserve"> and </w:t>
      </w:r>
      <w:proofErr w:type="spellStart"/>
      <w:r w:rsidRPr="00A73FC2">
        <w:rPr>
          <w:sz w:val="22"/>
          <w:szCs w:val="22"/>
        </w:rPr>
        <w:t>nonprofit</w:t>
      </w:r>
      <w:proofErr w:type="spellEnd"/>
      <w:r w:rsidRPr="00A73FC2">
        <w:rPr>
          <w:sz w:val="22"/>
          <w:szCs w:val="22"/>
        </w:rPr>
        <w:t xml:space="preserve"> </w:t>
      </w:r>
      <w:proofErr w:type="spellStart"/>
      <w:r w:rsidRPr="00A73FC2">
        <w:rPr>
          <w:sz w:val="22"/>
          <w:szCs w:val="22"/>
        </w:rPr>
        <w:t>organizations</w:t>
      </w:r>
      <w:proofErr w:type="spellEnd"/>
      <w:r w:rsidRPr="00A73FC2">
        <w:rPr>
          <w:sz w:val="22"/>
          <w:szCs w:val="22"/>
        </w:rPr>
        <w:t xml:space="preserve"> (5th ed.). Jossey-Bass.</w:t>
      </w:r>
    </w:p>
    <w:p w:rsidRPr="00A73FC2" w:rsidR="00A73FC2" w:rsidP="00A73FC2" w:rsidRDefault="00A73FC2" w14:paraId="0B5BF3D2" w14:textId="77777777">
      <w:pPr>
        <w:spacing w:after="0"/>
        <w:jc w:val="both"/>
        <w:rPr>
          <w:sz w:val="22"/>
          <w:szCs w:val="22"/>
        </w:rPr>
      </w:pPr>
    </w:p>
    <w:p w:rsidRPr="00A73FC2" w:rsidR="00A73FC2" w:rsidP="00A73FC2" w:rsidRDefault="00A73FC2" w14:paraId="61A56547" w14:textId="77777777">
      <w:pPr>
        <w:spacing w:after="0"/>
        <w:jc w:val="both"/>
        <w:rPr>
          <w:sz w:val="22"/>
          <w:szCs w:val="22"/>
        </w:rPr>
      </w:pPr>
      <w:proofErr w:type="spellStart"/>
      <w:r w:rsidRPr="00A73FC2">
        <w:rPr>
          <w:sz w:val="22"/>
          <w:szCs w:val="22"/>
        </w:rPr>
        <w:t>Cambaza</w:t>
      </w:r>
      <w:proofErr w:type="spellEnd"/>
      <w:r w:rsidRPr="00A73FC2">
        <w:rPr>
          <w:sz w:val="22"/>
          <w:szCs w:val="22"/>
        </w:rPr>
        <w:t xml:space="preserve">, E. M. (2024). </w:t>
      </w:r>
      <w:proofErr w:type="spellStart"/>
      <w:r w:rsidRPr="00A73FC2">
        <w:rPr>
          <w:sz w:val="22"/>
          <w:szCs w:val="22"/>
        </w:rPr>
        <w:t>Theranos</w:t>
      </w:r>
      <w:proofErr w:type="spellEnd"/>
      <w:r w:rsidRPr="00A73FC2">
        <w:rPr>
          <w:sz w:val="22"/>
          <w:szCs w:val="22"/>
        </w:rPr>
        <w:t xml:space="preserve">: The </w:t>
      </w:r>
      <w:proofErr w:type="spellStart"/>
      <w:r w:rsidRPr="00A73FC2">
        <w:rPr>
          <w:sz w:val="22"/>
          <w:szCs w:val="22"/>
        </w:rPr>
        <w:t>ethics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innovation</w:t>
      </w:r>
      <w:proofErr w:type="spellEnd"/>
      <w:r w:rsidRPr="00A73FC2">
        <w:rPr>
          <w:sz w:val="22"/>
          <w:szCs w:val="22"/>
        </w:rPr>
        <w:t xml:space="preserve"> and </w:t>
      </w:r>
      <w:proofErr w:type="spellStart"/>
      <w:r w:rsidRPr="00A73FC2">
        <w:rPr>
          <w:sz w:val="22"/>
          <w:szCs w:val="22"/>
        </w:rPr>
        <w:t>deception</w:t>
      </w:r>
      <w:proofErr w:type="spellEnd"/>
      <w:r w:rsidRPr="00A73FC2">
        <w:rPr>
          <w:sz w:val="22"/>
          <w:szCs w:val="22"/>
        </w:rPr>
        <w:t xml:space="preserve"> in </w:t>
      </w:r>
      <w:proofErr w:type="spellStart"/>
      <w:r w:rsidRPr="00A73FC2">
        <w:rPr>
          <w:sz w:val="22"/>
          <w:szCs w:val="22"/>
        </w:rPr>
        <w:t>healthcare</w:t>
      </w:r>
      <w:proofErr w:type="spellEnd"/>
      <w:r w:rsidRPr="00A73FC2">
        <w:rPr>
          <w:sz w:val="22"/>
          <w:szCs w:val="22"/>
        </w:rPr>
        <w:t xml:space="preserve"> </w:t>
      </w:r>
      <w:proofErr w:type="spellStart"/>
      <w:r w:rsidRPr="00A73FC2">
        <w:rPr>
          <w:sz w:val="22"/>
          <w:szCs w:val="22"/>
        </w:rPr>
        <w:t>technology</w:t>
      </w:r>
      <w:proofErr w:type="spellEnd"/>
      <w:r w:rsidRPr="00A73FC2">
        <w:rPr>
          <w:sz w:val="22"/>
          <w:szCs w:val="22"/>
        </w:rPr>
        <w:t>. Universidade Aberta ISCDE.</w:t>
      </w:r>
    </w:p>
    <w:p w:rsidRPr="00A73FC2" w:rsidR="00A73FC2" w:rsidP="00A73FC2" w:rsidRDefault="00A73FC2" w14:paraId="212B3228" w14:textId="77777777">
      <w:pPr>
        <w:spacing w:after="0"/>
        <w:jc w:val="both"/>
        <w:rPr>
          <w:sz w:val="22"/>
          <w:szCs w:val="22"/>
        </w:rPr>
      </w:pPr>
    </w:p>
    <w:p w:rsidRPr="00A73FC2" w:rsidR="00A73FC2" w:rsidP="00A73FC2" w:rsidRDefault="00A73FC2" w14:paraId="112FE873" w14:textId="77777777">
      <w:pPr>
        <w:spacing w:after="0"/>
        <w:jc w:val="both"/>
        <w:rPr>
          <w:sz w:val="22"/>
          <w:szCs w:val="22"/>
        </w:rPr>
      </w:pPr>
      <w:r w:rsidRPr="00A73FC2">
        <w:rPr>
          <w:sz w:val="22"/>
          <w:szCs w:val="22"/>
        </w:rPr>
        <w:t>Cantero, J. (2007). La gestión del riesgo industrial bajo la óptica de la teoría de los accidentes normales. En J. Walter &amp; F. Pucci (Eds.), La gestión del riesgo y las crisis (pp. 90–152). El Ateneo.</w:t>
      </w:r>
    </w:p>
    <w:p w:rsidRPr="00A73FC2" w:rsidR="00A73FC2" w:rsidP="00A73FC2" w:rsidRDefault="00A73FC2" w14:paraId="75F534ED" w14:textId="77777777">
      <w:pPr>
        <w:spacing w:after="0"/>
        <w:jc w:val="both"/>
        <w:rPr>
          <w:sz w:val="22"/>
          <w:szCs w:val="22"/>
        </w:rPr>
      </w:pPr>
    </w:p>
    <w:p w:rsidRPr="00A73FC2" w:rsidR="00A73FC2" w:rsidP="00A73FC2" w:rsidRDefault="00A73FC2" w14:paraId="5AFC6E4B" w14:textId="77777777">
      <w:pPr>
        <w:spacing w:after="0"/>
        <w:jc w:val="both"/>
        <w:rPr>
          <w:sz w:val="22"/>
          <w:szCs w:val="22"/>
        </w:rPr>
      </w:pPr>
      <w:proofErr w:type="spellStart"/>
      <w:r w:rsidRPr="00A73FC2">
        <w:rPr>
          <w:sz w:val="22"/>
          <w:szCs w:val="22"/>
        </w:rPr>
        <w:t>Carreyrou</w:t>
      </w:r>
      <w:proofErr w:type="spellEnd"/>
      <w:r w:rsidRPr="00A73FC2">
        <w:rPr>
          <w:sz w:val="22"/>
          <w:szCs w:val="22"/>
        </w:rPr>
        <w:t xml:space="preserve">, J. (2020). Bad </w:t>
      </w:r>
      <w:proofErr w:type="spellStart"/>
      <w:r w:rsidRPr="00A73FC2">
        <w:rPr>
          <w:sz w:val="22"/>
          <w:szCs w:val="22"/>
        </w:rPr>
        <w:t>blood</w:t>
      </w:r>
      <w:proofErr w:type="spellEnd"/>
      <w:r w:rsidRPr="00A73FC2">
        <w:rPr>
          <w:sz w:val="22"/>
          <w:szCs w:val="22"/>
        </w:rPr>
        <w:t xml:space="preserve">: </w:t>
      </w:r>
      <w:proofErr w:type="spellStart"/>
      <w:r w:rsidRPr="00A73FC2">
        <w:rPr>
          <w:sz w:val="22"/>
          <w:szCs w:val="22"/>
        </w:rPr>
        <w:t>Secrets</w:t>
      </w:r>
      <w:proofErr w:type="spellEnd"/>
      <w:r w:rsidRPr="00A73FC2">
        <w:rPr>
          <w:sz w:val="22"/>
          <w:szCs w:val="22"/>
        </w:rPr>
        <w:t xml:space="preserve"> and </w:t>
      </w:r>
      <w:proofErr w:type="spellStart"/>
      <w:r w:rsidRPr="00A73FC2">
        <w:rPr>
          <w:sz w:val="22"/>
          <w:szCs w:val="22"/>
        </w:rPr>
        <w:t>lies</w:t>
      </w:r>
      <w:proofErr w:type="spellEnd"/>
      <w:r w:rsidRPr="00A73FC2">
        <w:rPr>
          <w:sz w:val="22"/>
          <w:szCs w:val="22"/>
        </w:rPr>
        <w:t xml:space="preserve"> in a Silicon Valley </w:t>
      </w:r>
      <w:proofErr w:type="gramStart"/>
      <w:r w:rsidRPr="00A73FC2">
        <w:rPr>
          <w:sz w:val="22"/>
          <w:szCs w:val="22"/>
        </w:rPr>
        <w:t>startup</w:t>
      </w:r>
      <w:proofErr w:type="gramEnd"/>
      <w:r w:rsidRPr="00A73FC2">
        <w:rPr>
          <w:sz w:val="22"/>
          <w:szCs w:val="22"/>
        </w:rPr>
        <w:t>. Vintage Books.</w:t>
      </w:r>
    </w:p>
    <w:p w:rsidRPr="00A73FC2" w:rsidR="00A73FC2" w:rsidP="00A73FC2" w:rsidRDefault="00A73FC2" w14:paraId="21201960" w14:textId="77777777">
      <w:pPr>
        <w:spacing w:after="0"/>
        <w:jc w:val="both"/>
        <w:rPr>
          <w:sz w:val="22"/>
          <w:szCs w:val="22"/>
        </w:rPr>
      </w:pPr>
    </w:p>
    <w:p w:rsidR="00A73FC2" w:rsidP="00A73FC2" w:rsidRDefault="00A73FC2" w14:paraId="677A4174" w14:textId="5372C20A">
      <w:pPr>
        <w:spacing w:after="0"/>
        <w:jc w:val="both"/>
        <w:rPr>
          <w:sz w:val="22"/>
          <w:szCs w:val="22"/>
        </w:rPr>
      </w:pPr>
      <w:r w:rsidRPr="00A73FC2">
        <w:rPr>
          <w:sz w:val="22"/>
          <w:szCs w:val="22"/>
        </w:rPr>
        <w:t xml:space="preserve">Civil </w:t>
      </w:r>
      <w:proofErr w:type="spellStart"/>
      <w:r w:rsidRPr="00A73FC2">
        <w:rPr>
          <w:sz w:val="22"/>
          <w:szCs w:val="22"/>
        </w:rPr>
        <w:t>Aviation</w:t>
      </w:r>
      <w:proofErr w:type="spellEnd"/>
      <w:r w:rsidRPr="00A73FC2">
        <w:rPr>
          <w:sz w:val="22"/>
          <w:szCs w:val="22"/>
        </w:rPr>
        <w:t xml:space="preserve"> Safety </w:t>
      </w:r>
      <w:proofErr w:type="spellStart"/>
      <w:r w:rsidRPr="00A73FC2">
        <w:rPr>
          <w:sz w:val="22"/>
          <w:szCs w:val="22"/>
        </w:rPr>
        <w:t>Authority</w:t>
      </w:r>
      <w:proofErr w:type="spellEnd"/>
      <w:r w:rsidRPr="00A73FC2">
        <w:rPr>
          <w:sz w:val="22"/>
          <w:szCs w:val="22"/>
        </w:rPr>
        <w:t xml:space="preserve">. (2017). Safety in </w:t>
      </w:r>
      <w:proofErr w:type="spellStart"/>
      <w:r w:rsidRPr="00A73FC2">
        <w:rPr>
          <w:sz w:val="22"/>
          <w:szCs w:val="22"/>
        </w:rPr>
        <w:t>mind</w:t>
      </w:r>
      <w:proofErr w:type="spellEnd"/>
      <w:r w:rsidRPr="00A73FC2">
        <w:rPr>
          <w:sz w:val="22"/>
          <w:szCs w:val="22"/>
        </w:rPr>
        <w:t xml:space="preserve">: </w:t>
      </w:r>
      <w:proofErr w:type="spellStart"/>
      <w:r w:rsidRPr="00A73FC2">
        <w:rPr>
          <w:sz w:val="22"/>
          <w:szCs w:val="22"/>
        </w:rPr>
        <w:t>Normalisation</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deviance</w:t>
      </w:r>
      <w:proofErr w:type="spellEnd"/>
      <w:r w:rsidRPr="00A73FC2">
        <w:rPr>
          <w:sz w:val="22"/>
          <w:szCs w:val="22"/>
        </w:rPr>
        <w:t xml:space="preserve">. </w:t>
      </w:r>
      <w:hyperlink w:history="1" r:id="rId23">
        <w:r w:rsidRPr="00A042E6" w:rsidR="007B58FF">
          <w:rPr>
            <w:rStyle w:val="Hipervnculo"/>
            <w:sz w:val="22"/>
            <w:szCs w:val="22"/>
          </w:rPr>
          <w:t>https://www.flightsafetyaustralia.com</w:t>
        </w:r>
      </w:hyperlink>
    </w:p>
    <w:p w:rsidRPr="00A73FC2" w:rsidR="00A73FC2" w:rsidP="00A73FC2" w:rsidRDefault="00A73FC2" w14:paraId="582DE737" w14:textId="77777777">
      <w:pPr>
        <w:spacing w:after="0"/>
        <w:jc w:val="both"/>
        <w:rPr>
          <w:sz w:val="22"/>
          <w:szCs w:val="22"/>
        </w:rPr>
      </w:pPr>
    </w:p>
    <w:p w:rsidRPr="00A73FC2" w:rsidR="00A73FC2" w:rsidP="00A73FC2" w:rsidRDefault="00A73FC2" w14:paraId="740C0E48" w14:textId="77777777">
      <w:pPr>
        <w:spacing w:after="0"/>
        <w:jc w:val="both"/>
        <w:rPr>
          <w:sz w:val="22"/>
          <w:szCs w:val="22"/>
        </w:rPr>
      </w:pPr>
      <w:r w:rsidRPr="00A73FC2">
        <w:rPr>
          <w:sz w:val="22"/>
          <w:szCs w:val="22"/>
        </w:rPr>
        <w:t xml:space="preserve">Collantes, G., &amp; Sperling, D. (2016). El impacto del escándalo de emisiones de Volkswagen en políticas de transporte. </w:t>
      </w:r>
      <w:proofErr w:type="spellStart"/>
      <w:r w:rsidRPr="00A73FC2">
        <w:rPr>
          <w:sz w:val="22"/>
          <w:szCs w:val="22"/>
        </w:rPr>
        <w:t>Journal</w:t>
      </w:r>
      <w:proofErr w:type="spellEnd"/>
      <w:r w:rsidRPr="00A73FC2">
        <w:rPr>
          <w:sz w:val="22"/>
          <w:szCs w:val="22"/>
        </w:rPr>
        <w:t xml:space="preserve"> of </w:t>
      </w:r>
      <w:proofErr w:type="spellStart"/>
      <w:r w:rsidRPr="00A73FC2">
        <w:rPr>
          <w:sz w:val="22"/>
          <w:szCs w:val="22"/>
        </w:rPr>
        <w:t>Transportation</w:t>
      </w:r>
      <w:proofErr w:type="spellEnd"/>
      <w:r w:rsidRPr="00A73FC2">
        <w:rPr>
          <w:sz w:val="22"/>
          <w:szCs w:val="22"/>
        </w:rPr>
        <w:t xml:space="preserve"> </w:t>
      </w:r>
      <w:proofErr w:type="spellStart"/>
      <w:r w:rsidRPr="00A73FC2">
        <w:rPr>
          <w:sz w:val="22"/>
          <w:szCs w:val="22"/>
        </w:rPr>
        <w:t>Studies</w:t>
      </w:r>
      <w:proofErr w:type="spellEnd"/>
      <w:r w:rsidRPr="00A73FC2">
        <w:rPr>
          <w:sz w:val="22"/>
          <w:szCs w:val="22"/>
        </w:rPr>
        <w:t>, 14(3), 211–225.</w:t>
      </w:r>
    </w:p>
    <w:p w:rsidRPr="00A73FC2" w:rsidR="00A73FC2" w:rsidP="00A73FC2" w:rsidRDefault="00A73FC2" w14:paraId="0D8CD02D" w14:textId="77777777">
      <w:pPr>
        <w:spacing w:after="0"/>
        <w:jc w:val="both"/>
        <w:rPr>
          <w:sz w:val="22"/>
          <w:szCs w:val="22"/>
        </w:rPr>
      </w:pPr>
    </w:p>
    <w:p w:rsidRPr="00A73FC2" w:rsidR="00A73FC2" w:rsidP="00A73FC2" w:rsidRDefault="00A73FC2" w14:paraId="6E1B171A" w14:textId="77777777">
      <w:pPr>
        <w:spacing w:after="0"/>
        <w:jc w:val="both"/>
        <w:rPr>
          <w:sz w:val="22"/>
          <w:szCs w:val="22"/>
        </w:rPr>
      </w:pPr>
      <w:proofErr w:type="spellStart"/>
      <w:r w:rsidRPr="00A73FC2">
        <w:rPr>
          <w:sz w:val="22"/>
          <w:szCs w:val="22"/>
        </w:rPr>
        <w:t>Committee</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Sponsoring</w:t>
      </w:r>
      <w:proofErr w:type="spellEnd"/>
      <w:r w:rsidRPr="00A73FC2">
        <w:rPr>
          <w:sz w:val="22"/>
          <w:szCs w:val="22"/>
        </w:rPr>
        <w:t xml:space="preserve"> </w:t>
      </w:r>
      <w:proofErr w:type="spellStart"/>
      <w:r w:rsidRPr="00A73FC2">
        <w:rPr>
          <w:sz w:val="22"/>
          <w:szCs w:val="22"/>
        </w:rPr>
        <w:t>Organizations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the</w:t>
      </w:r>
      <w:proofErr w:type="spellEnd"/>
      <w:r w:rsidRPr="00A73FC2">
        <w:rPr>
          <w:sz w:val="22"/>
          <w:szCs w:val="22"/>
        </w:rPr>
        <w:t xml:space="preserve"> Treadway </w:t>
      </w:r>
      <w:proofErr w:type="spellStart"/>
      <w:r w:rsidRPr="00A73FC2">
        <w:rPr>
          <w:sz w:val="22"/>
          <w:szCs w:val="22"/>
        </w:rPr>
        <w:t>Commission</w:t>
      </w:r>
      <w:proofErr w:type="spellEnd"/>
      <w:r w:rsidRPr="00A73FC2">
        <w:rPr>
          <w:sz w:val="22"/>
          <w:szCs w:val="22"/>
        </w:rPr>
        <w:t xml:space="preserve">. (2017). Enterprise </w:t>
      </w:r>
      <w:proofErr w:type="spellStart"/>
      <w:r w:rsidRPr="00A73FC2">
        <w:rPr>
          <w:sz w:val="22"/>
          <w:szCs w:val="22"/>
        </w:rPr>
        <w:t>risk</w:t>
      </w:r>
      <w:proofErr w:type="spellEnd"/>
      <w:r w:rsidRPr="00A73FC2">
        <w:rPr>
          <w:sz w:val="22"/>
          <w:szCs w:val="22"/>
        </w:rPr>
        <w:t xml:space="preserve"> </w:t>
      </w:r>
      <w:proofErr w:type="spellStart"/>
      <w:r w:rsidRPr="00A73FC2">
        <w:rPr>
          <w:sz w:val="22"/>
          <w:szCs w:val="22"/>
        </w:rPr>
        <w:t>management</w:t>
      </w:r>
      <w:proofErr w:type="spellEnd"/>
      <w:r w:rsidRPr="00A73FC2">
        <w:rPr>
          <w:sz w:val="22"/>
          <w:szCs w:val="22"/>
        </w:rPr>
        <w:t xml:space="preserve">: </w:t>
      </w:r>
      <w:proofErr w:type="spellStart"/>
      <w:r w:rsidRPr="00A73FC2">
        <w:rPr>
          <w:sz w:val="22"/>
          <w:szCs w:val="22"/>
        </w:rPr>
        <w:t>Integrating</w:t>
      </w:r>
      <w:proofErr w:type="spellEnd"/>
      <w:r w:rsidRPr="00A73FC2">
        <w:rPr>
          <w:sz w:val="22"/>
          <w:szCs w:val="22"/>
        </w:rPr>
        <w:t xml:space="preserve"> </w:t>
      </w:r>
      <w:proofErr w:type="spellStart"/>
      <w:r w:rsidRPr="00A73FC2">
        <w:rPr>
          <w:sz w:val="22"/>
          <w:szCs w:val="22"/>
        </w:rPr>
        <w:t>with</w:t>
      </w:r>
      <w:proofErr w:type="spellEnd"/>
      <w:r w:rsidRPr="00A73FC2">
        <w:rPr>
          <w:sz w:val="22"/>
          <w:szCs w:val="22"/>
        </w:rPr>
        <w:t xml:space="preserve"> </w:t>
      </w:r>
      <w:proofErr w:type="spellStart"/>
      <w:r w:rsidRPr="00A73FC2">
        <w:rPr>
          <w:sz w:val="22"/>
          <w:szCs w:val="22"/>
        </w:rPr>
        <w:t>strategy</w:t>
      </w:r>
      <w:proofErr w:type="spellEnd"/>
      <w:r w:rsidRPr="00A73FC2">
        <w:rPr>
          <w:sz w:val="22"/>
          <w:szCs w:val="22"/>
        </w:rPr>
        <w:t xml:space="preserve"> and performance.</w:t>
      </w:r>
    </w:p>
    <w:p w:rsidRPr="00A73FC2" w:rsidR="00A73FC2" w:rsidP="00A73FC2" w:rsidRDefault="00A73FC2" w14:paraId="20522899" w14:textId="77777777">
      <w:pPr>
        <w:spacing w:after="0"/>
        <w:jc w:val="both"/>
        <w:rPr>
          <w:sz w:val="22"/>
          <w:szCs w:val="22"/>
        </w:rPr>
      </w:pPr>
    </w:p>
    <w:p w:rsidRPr="00A73FC2" w:rsidR="00A73FC2" w:rsidP="00A73FC2" w:rsidRDefault="00A73FC2" w14:paraId="0AEC3BA5" w14:textId="77777777">
      <w:pPr>
        <w:spacing w:after="0"/>
        <w:jc w:val="both"/>
        <w:rPr>
          <w:sz w:val="22"/>
          <w:szCs w:val="22"/>
        </w:rPr>
      </w:pPr>
      <w:r w:rsidRPr="00A73FC2">
        <w:rPr>
          <w:sz w:val="22"/>
          <w:szCs w:val="22"/>
        </w:rPr>
        <w:t>Departamento Administrativo de la Función Pública. (2018). Guía para la administración del riesgo y el diseño de controles en entidades públicas (Versión 4).</w:t>
      </w:r>
    </w:p>
    <w:p w:rsidRPr="00A73FC2" w:rsidR="00A73FC2" w:rsidP="00A73FC2" w:rsidRDefault="00A73FC2" w14:paraId="23B8D60D" w14:textId="77777777">
      <w:pPr>
        <w:spacing w:after="0"/>
        <w:jc w:val="both"/>
        <w:rPr>
          <w:sz w:val="22"/>
          <w:szCs w:val="22"/>
        </w:rPr>
      </w:pPr>
    </w:p>
    <w:p w:rsidRPr="00A73FC2" w:rsidR="00A73FC2" w:rsidP="00A73FC2" w:rsidRDefault="00A73FC2" w14:paraId="04F8718A" w14:textId="77777777">
      <w:pPr>
        <w:spacing w:after="0"/>
        <w:jc w:val="both"/>
        <w:rPr>
          <w:sz w:val="22"/>
          <w:szCs w:val="22"/>
        </w:rPr>
      </w:pPr>
      <w:r w:rsidRPr="00A73FC2">
        <w:rPr>
          <w:sz w:val="22"/>
          <w:szCs w:val="22"/>
        </w:rPr>
        <w:t xml:space="preserve">Douglas, M., &amp; Wildavsky, A. (1982). Risk and culture. </w:t>
      </w:r>
      <w:proofErr w:type="spellStart"/>
      <w:r w:rsidRPr="00A73FC2">
        <w:rPr>
          <w:sz w:val="22"/>
          <w:szCs w:val="22"/>
        </w:rPr>
        <w:t>University</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California Press.</w:t>
      </w:r>
    </w:p>
    <w:p w:rsidRPr="00A73FC2" w:rsidR="00A73FC2" w:rsidP="00A73FC2" w:rsidRDefault="00A73FC2" w14:paraId="4A28732E" w14:textId="77777777">
      <w:pPr>
        <w:spacing w:after="0"/>
        <w:jc w:val="both"/>
        <w:rPr>
          <w:sz w:val="22"/>
          <w:szCs w:val="22"/>
        </w:rPr>
      </w:pPr>
    </w:p>
    <w:p w:rsidRPr="00A73FC2" w:rsidR="00A73FC2" w:rsidP="00A73FC2" w:rsidRDefault="00A73FC2" w14:paraId="0CD78075" w14:textId="77777777">
      <w:pPr>
        <w:spacing w:after="0"/>
        <w:jc w:val="both"/>
        <w:rPr>
          <w:sz w:val="22"/>
          <w:szCs w:val="22"/>
        </w:rPr>
      </w:pPr>
      <w:r w:rsidRPr="00A73FC2">
        <w:rPr>
          <w:sz w:val="22"/>
          <w:szCs w:val="22"/>
        </w:rPr>
        <w:t xml:space="preserve">Dunn, W. N. (2018). Public </w:t>
      </w:r>
      <w:proofErr w:type="spellStart"/>
      <w:r w:rsidRPr="00A73FC2">
        <w:rPr>
          <w:sz w:val="22"/>
          <w:szCs w:val="22"/>
        </w:rPr>
        <w:t>policy</w:t>
      </w:r>
      <w:proofErr w:type="spellEnd"/>
      <w:r w:rsidRPr="00A73FC2">
        <w:rPr>
          <w:sz w:val="22"/>
          <w:szCs w:val="22"/>
        </w:rPr>
        <w:t xml:space="preserve"> </w:t>
      </w:r>
      <w:proofErr w:type="spellStart"/>
      <w:r w:rsidRPr="00A73FC2">
        <w:rPr>
          <w:sz w:val="22"/>
          <w:szCs w:val="22"/>
        </w:rPr>
        <w:t>analysis</w:t>
      </w:r>
      <w:proofErr w:type="spellEnd"/>
      <w:r w:rsidRPr="00A73FC2">
        <w:rPr>
          <w:sz w:val="22"/>
          <w:szCs w:val="22"/>
        </w:rPr>
        <w:t xml:space="preserve">: </w:t>
      </w:r>
      <w:proofErr w:type="spellStart"/>
      <w:r w:rsidRPr="00A73FC2">
        <w:rPr>
          <w:sz w:val="22"/>
          <w:szCs w:val="22"/>
        </w:rPr>
        <w:t>An</w:t>
      </w:r>
      <w:proofErr w:type="spellEnd"/>
      <w:r w:rsidRPr="00A73FC2">
        <w:rPr>
          <w:sz w:val="22"/>
          <w:szCs w:val="22"/>
        </w:rPr>
        <w:t xml:space="preserve"> </w:t>
      </w:r>
      <w:proofErr w:type="spellStart"/>
      <w:r w:rsidRPr="00A73FC2">
        <w:rPr>
          <w:sz w:val="22"/>
          <w:szCs w:val="22"/>
        </w:rPr>
        <w:t>integrated</w:t>
      </w:r>
      <w:proofErr w:type="spellEnd"/>
      <w:r w:rsidRPr="00A73FC2">
        <w:rPr>
          <w:sz w:val="22"/>
          <w:szCs w:val="22"/>
        </w:rPr>
        <w:t xml:space="preserve"> </w:t>
      </w:r>
      <w:proofErr w:type="spellStart"/>
      <w:r w:rsidRPr="00A73FC2">
        <w:rPr>
          <w:sz w:val="22"/>
          <w:szCs w:val="22"/>
        </w:rPr>
        <w:t>approach</w:t>
      </w:r>
      <w:proofErr w:type="spellEnd"/>
      <w:r w:rsidRPr="00A73FC2">
        <w:rPr>
          <w:sz w:val="22"/>
          <w:szCs w:val="22"/>
        </w:rPr>
        <w:t xml:space="preserve"> (6th ed.). Routledge.</w:t>
      </w:r>
    </w:p>
    <w:p w:rsidRPr="00A73FC2" w:rsidR="00A73FC2" w:rsidP="00A73FC2" w:rsidRDefault="00A73FC2" w14:paraId="4267CCB0" w14:textId="77777777">
      <w:pPr>
        <w:spacing w:after="0"/>
        <w:jc w:val="both"/>
        <w:rPr>
          <w:sz w:val="22"/>
          <w:szCs w:val="22"/>
        </w:rPr>
      </w:pPr>
    </w:p>
    <w:p w:rsidRPr="00A73FC2" w:rsidR="00B76B3F" w:rsidP="00A73FC2" w:rsidRDefault="00A73FC2" w14:paraId="334381D6" w14:textId="6E403B5B">
      <w:pPr>
        <w:spacing w:after="0"/>
        <w:jc w:val="both"/>
        <w:rPr>
          <w:sz w:val="22"/>
          <w:szCs w:val="22"/>
        </w:rPr>
      </w:pPr>
      <w:r w:rsidRPr="00A73FC2">
        <w:rPr>
          <w:sz w:val="22"/>
          <w:szCs w:val="22"/>
        </w:rPr>
        <w:t xml:space="preserve">Ewing, J. (2015). El escándalo de Volkswagen. The New York Times. </w:t>
      </w:r>
      <w:hyperlink w:history="1" r:id="rId24">
        <w:r w:rsidRPr="00A042E6" w:rsidR="00B76B3F">
          <w:rPr>
            <w:rStyle w:val="Hipervnculo"/>
            <w:sz w:val="22"/>
            <w:szCs w:val="22"/>
          </w:rPr>
          <w:t>https://www.nytimes.com</w:t>
        </w:r>
      </w:hyperlink>
    </w:p>
    <w:p w:rsidRPr="00A73FC2" w:rsidR="00A73FC2" w:rsidP="00A73FC2" w:rsidRDefault="00A73FC2" w14:paraId="45AAB191" w14:textId="77777777">
      <w:pPr>
        <w:spacing w:after="0"/>
        <w:jc w:val="both"/>
        <w:rPr>
          <w:sz w:val="22"/>
          <w:szCs w:val="22"/>
        </w:rPr>
      </w:pPr>
    </w:p>
    <w:p w:rsidRPr="00A73FC2" w:rsidR="00A73FC2" w:rsidP="00A73FC2" w:rsidRDefault="00A73FC2" w14:paraId="406ADCB8" w14:textId="77777777">
      <w:pPr>
        <w:spacing w:after="0"/>
        <w:jc w:val="both"/>
        <w:rPr>
          <w:sz w:val="22"/>
          <w:szCs w:val="22"/>
        </w:rPr>
      </w:pPr>
      <w:r w:rsidRPr="00A73FC2">
        <w:rPr>
          <w:sz w:val="22"/>
          <w:szCs w:val="22"/>
        </w:rPr>
        <w:t xml:space="preserve">Fiala, C., &amp; Diamandis, E. P. (2018). The </w:t>
      </w:r>
      <w:proofErr w:type="spellStart"/>
      <w:r w:rsidRPr="00A73FC2">
        <w:rPr>
          <w:sz w:val="22"/>
          <w:szCs w:val="22"/>
        </w:rPr>
        <w:t>rise</w:t>
      </w:r>
      <w:proofErr w:type="spellEnd"/>
      <w:r w:rsidRPr="00A73FC2">
        <w:rPr>
          <w:sz w:val="22"/>
          <w:szCs w:val="22"/>
        </w:rPr>
        <w:t xml:space="preserve"> and </w:t>
      </w:r>
      <w:proofErr w:type="spellStart"/>
      <w:r w:rsidRPr="00A73FC2">
        <w:rPr>
          <w:sz w:val="22"/>
          <w:szCs w:val="22"/>
        </w:rPr>
        <w:t>fall</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Theranos</w:t>
      </w:r>
      <w:proofErr w:type="spellEnd"/>
      <w:r w:rsidRPr="00A73FC2">
        <w:rPr>
          <w:sz w:val="22"/>
          <w:szCs w:val="22"/>
        </w:rPr>
        <w:t xml:space="preserve">. </w:t>
      </w:r>
      <w:proofErr w:type="spellStart"/>
      <w:r w:rsidRPr="00A73FC2">
        <w:rPr>
          <w:sz w:val="22"/>
          <w:szCs w:val="22"/>
        </w:rPr>
        <w:t>Clinical</w:t>
      </w:r>
      <w:proofErr w:type="spellEnd"/>
      <w:r w:rsidRPr="00A73FC2">
        <w:rPr>
          <w:sz w:val="22"/>
          <w:szCs w:val="22"/>
        </w:rPr>
        <w:t xml:space="preserve"> </w:t>
      </w:r>
      <w:proofErr w:type="spellStart"/>
      <w:r w:rsidRPr="00A73FC2">
        <w:rPr>
          <w:sz w:val="22"/>
          <w:szCs w:val="22"/>
        </w:rPr>
        <w:t>Chemistry</w:t>
      </w:r>
      <w:proofErr w:type="spellEnd"/>
      <w:r w:rsidRPr="00A73FC2">
        <w:rPr>
          <w:sz w:val="22"/>
          <w:szCs w:val="22"/>
        </w:rPr>
        <w:t xml:space="preserve"> and </w:t>
      </w:r>
      <w:proofErr w:type="spellStart"/>
      <w:r w:rsidRPr="00A73FC2">
        <w:rPr>
          <w:sz w:val="22"/>
          <w:szCs w:val="22"/>
        </w:rPr>
        <w:t>Laboratory</w:t>
      </w:r>
      <w:proofErr w:type="spellEnd"/>
      <w:r w:rsidRPr="00A73FC2">
        <w:rPr>
          <w:sz w:val="22"/>
          <w:szCs w:val="22"/>
        </w:rPr>
        <w:t xml:space="preserve"> Medicine, 56(9), 1443–1446.</w:t>
      </w:r>
    </w:p>
    <w:p w:rsidRPr="00A73FC2" w:rsidR="00A73FC2" w:rsidP="00A73FC2" w:rsidRDefault="00A73FC2" w14:paraId="5EA25EE6" w14:textId="77777777">
      <w:pPr>
        <w:spacing w:after="0"/>
        <w:jc w:val="both"/>
        <w:rPr>
          <w:sz w:val="22"/>
          <w:szCs w:val="22"/>
        </w:rPr>
      </w:pPr>
    </w:p>
    <w:p w:rsidR="00A73FC2" w:rsidP="00A73FC2" w:rsidRDefault="00A73FC2" w14:paraId="161F9884" w14:textId="77777777">
      <w:pPr>
        <w:spacing w:after="0"/>
        <w:jc w:val="both"/>
        <w:rPr>
          <w:sz w:val="22"/>
          <w:szCs w:val="22"/>
        </w:rPr>
      </w:pPr>
      <w:proofErr w:type="spellStart"/>
      <w:r w:rsidRPr="00A73FC2">
        <w:rPr>
          <w:sz w:val="22"/>
          <w:szCs w:val="22"/>
        </w:rPr>
        <w:t>Financial</w:t>
      </w:r>
      <w:proofErr w:type="spellEnd"/>
      <w:r w:rsidRPr="00A73FC2">
        <w:rPr>
          <w:sz w:val="22"/>
          <w:szCs w:val="22"/>
        </w:rPr>
        <w:t xml:space="preserve"> </w:t>
      </w:r>
      <w:proofErr w:type="spellStart"/>
      <w:r w:rsidRPr="00A73FC2">
        <w:rPr>
          <w:sz w:val="22"/>
          <w:szCs w:val="22"/>
        </w:rPr>
        <w:t>Reporting</w:t>
      </w:r>
      <w:proofErr w:type="spellEnd"/>
      <w:r w:rsidRPr="00A73FC2">
        <w:rPr>
          <w:sz w:val="22"/>
          <w:szCs w:val="22"/>
        </w:rPr>
        <w:t xml:space="preserve"> Council. (2016). The UK </w:t>
      </w:r>
      <w:proofErr w:type="spellStart"/>
      <w:r w:rsidRPr="00A73FC2">
        <w:rPr>
          <w:sz w:val="22"/>
          <w:szCs w:val="22"/>
        </w:rPr>
        <w:t>corporate</w:t>
      </w:r>
      <w:proofErr w:type="spellEnd"/>
      <w:r w:rsidRPr="00A73FC2">
        <w:rPr>
          <w:sz w:val="22"/>
          <w:szCs w:val="22"/>
        </w:rPr>
        <w:t xml:space="preserve"> </w:t>
      </w:r>
      <w:proofErr w:type="spellStart"/>
      <w:r w:rsidRPr="00A73FC2">
        <w:rPr>
          <w:sz w:val="22"/>
          <w:szCs w:val="22"/>
        </w:rPr>
        <w:t>governance</w:t>
      </w:r>
      <w:proofErr w:type="spellEnd"/>
      <w:r w:rsidRPr="00A73FC2">
        <w:rPr>
          <w:sz w:val="22"/>
          <w:szCs w:val="22"/>
        </w:rPr>
        <w:t xml:space="preserve"> </w:t>
      </w:r>
      <w:proofErr w:type="spellStart"/>
      <w:r w:rsidRPr="00A73FC2">
        <w:rPr>
          <w:sz w:val="22"/>
          <w:szCs w:val="22"/>
        </w:rPr>
        <w:t>code</w:t>
      </w:r>
      <w:proofErr w:type="spellEnd"/>
      <w:r w:rsidRPr="00A73FC2">
        <w:rPr>
          <w:sz w:val="22"/>
          <w:szCs w:val="22"/>
        </w:rPr>
        <w:t>.</w:t>
      </w:r>
    </w:p>
    <w:p w:rsidR="00B76B3F" w:rsidP="00A73FC2" w:rsidRDefault="00B76B3F" w14:paraId="647B598E" w14:textId="77777777">
      <w:pPr>
        <w:spacing w:after="0"/>
        <w:jc w:val="both"/>
        <w:rPr>
          <w:sz w:val="22"/>
          <w:szCs w:val="22"/>
        </w:rPr>
      </w:pPr>
    </w:p>
    <w:p w:rsidRPr="00A73FC2" w:rsidR="00B76B3F" w:rsidP="00A73FC2" w:rsidRDefault="00B76B3F" w14:paraId="6946A819" w14:textId="480E6713">
      <w:pPr>
        <w:spacing w:after="0"/>
        <w:jc w:val="both"/>
        <w:rPr>
          <w:sz w:val="22"/>
          <w:szCs w:val="22"/>
        </w:rPr>
      </w:pPr>
      <w:r w:rsidRPr="00B76B3F">
        <w:rPr>
          <w:sz w:val="22"/>
          <w:szCs w:val="22"/>
        </w:rPr>
        <w:t xml:space="preserve">Foco en Obra. (2025). </w:t>
      </w:r>
      <w:r w:rsidRPr="00B76B3F">
        <w:rPr>
          <w:i/>
          <w:iCs/>
          <w:sz w:val="22"/>
          <w:szCs w:val="22"/>
        </w:rPr>
        <w:t>Árbol de problemas: Guía completa de análisis</w:t>
      </w:r>
      <w:r w:rsidRPr="00B76B3F">
        <w:rPr>
          <w:sz w:val="22"/>
          <w:szCs w:val="22"/>
        </w:rPr>
        <w:t>.</w:t>
      </w:r>
    </w:p>
    <w:p w:rsidRPr="00A73FC2" w:rsidR="00A73FC2" w:rsidP="00A73FC2" w:rsidRDefault="00A73FC2" w14:paraId="552AB633" w14:textId="77777777">
      <w:pPr>
        <w:spacing w:after="0"/>
        <w:jc w:val="both"/>
        <w:rPr>
          <w:sz w:val="22"/>
          <w:szCs w:val="22"/>
        </w:rPr>
      </w:pPr>
    </w:p>
    <w:p w:rsidR="00A73FC2" w:rsidP="00A73FC2" w:rsidRDefault="00A73FC2" w14:paraId="629CAFD9" w14:textId="77777777">
      <w:pPr>
        <w:spacing w:after="0"/>
        <w:jc w:val="both"/>
        <w:rPr>
          <w:sz w:val="22"/>
          <w:szCs w:val="22"/>
        </w:rPr>
      </w:pPr>
      <w:r w:rsidRPr="00A73FC2">
        <w:rPr>
          <w:sz w:val="22"/>
          <w:szCs w:val="22"/>
        </w:rPr>
        <w:t xml:space="preserve">Fukuyama, F. (2013). </w:t>
      </w:r>
      <w:proofErr w:type="spellStart"/>
      <w:r w:rsidRPr="00A73FC2">
        <w:rPr>
          <w:sz w:val="22"/>
          <w:szCs w:val="22"/>
        </w:rPr>
        <w:t>What</w:t>
      </w:r>
      <w:proofErr w:type="spellEnd"/>
      <w:r w:rsidRPr="00A73FC2">
        <w:rPr>
          <w:sz w:val="22"/>
          <w:szCs w:val="22"/>
        </w:rPr>
        <w:t xml:space="preserve"> </w:t>
      </w:r>
      <w:proofErr w:type="spellStart"/>
      <w:r w:rsidRPr="00A73FC2">
        <w:rPr>
          <w:sz w:val="22"/>
          <w:szCs w:val="22"/>
        </w:rPr>
        <w:t>is</w:t>
      </w:r>
      <w:proofErr w:type="spellEnd"/>
      <w:r w:rsidRPr="00A73FC2">
        <w:rPr>
          <w:sz w:val="22"/>
          <w:szCs w:val="22"/>
        </w:rPr>
        <w:t xml:space="preserve"> </w:t>
      </w:r>
      <w:proofErr w:type="spellStart"/>
      <w:r w:rsidRPr="00A73FC2">
        <w:rPr>
          <w:sz w:val="22"/>
          <w:szCs w:val="22"/>
        </w:rPr>
        <w:t>governance</w:t>
      </w:r>
      <w:proofErr w:type="spellEnd"/>
      <w:r w:rsidRPr="00A73FC2">
        <w:rPr>
          <w:sz w:val="22"/>
          <w:szCs w:val="22"/>
        </w:rPr>
        <w:t xml:space="preserve">? </w:t>
      </w:r>
      <w:proofErr w:type="spellStart"/>
      <w:r w:rsidRPr="00A73FC2">
        <w:rPr>
          <w:sz w:val="22"/>
          <w:szCs w:val="22"/>
        </w:rPr>
        <w:t>Governance</w:t>
      </w:r>
      <w:proofErr w:type="spellEnd"/>
      <w:r w:rsidRPr="00A73FC2">
        <w:rPr>
          <w:sz w:val="22"/>
          <w:szCs w:val="22"/>
        </w:rPr>
        <w:t>, 26(3), 347–368.</w:t>
      </w:r>
    </w:p>
    <w:p w:rsidRPr="00A73FC2" w:rsidR="00A73FC2" w:rsidP="00A73FC2" w:rsidRDefault="00A73FC2" w14:paraId="3012F232" w14:textId="77777777">
      <w:pPr>
        <w:spacing w:after="0"/>
        <w:jc w:val="both"/>
        <w:rPr>
          <w:sz w:val="22"/>
          <w:szCs w:val="22"/>
        </w:rPr>
      </w:pPr>
    </w:p>
    <w:p w:rsidRPr="00A73FC2" w:rsidR="00A73FC2" w:rsidP="00A73FC2" w:rsidRDefault="00A73FC2" w14:paraId="61E24440" w14:textId="77777777">
      <w:pPr>
        <w:spacing w:after="0"/>
        <w:jc w:val="both"/>
        <w:rPr>
          <w:sz w:val="22"/>
          <w:szCs w:val="22"/>
        </w:rPr>
      </w:pPr>
      <w:proofErr w:type="spellStart"/>
      <w:r w:rsidRPr="00A73FC2">
        <w:rPr>
          <w:sz w:val="22"/>
          <w:szCs w:val="22"/>
        </w:rPr>
        <w:t>Gigerenzer</w:t>
      </w:r>
      <w:proofErr w:type="spellEnd"/>
      <w:r w:rsidRPr="00A73FC2">
        <w:rPr>
          <w:sz w:val="22"/>
          <w:szCs w:val="22"/>
        </w:rPr>
        <w:t xml:space="preserve">, G. (2002). </w:t>
      </w:r>
      <w:proofErr w:type="spellStart"/>
      <w:r w:rsidRPr="00A73FC2">
        <w:rPr>
          <w:sz w:val="22"/>
          <w:szCs w:val="22"/>
        </w:rPr>
        <w:t>Reckoning</w:t>
      </w:r>
      <w:proofErr w:type="spellEnd"/>
      <w:r w:rsidRPr="00A73FC2">
        <w:rPr>
          <w:sz w:val="22"/>
          <w:szCs w:val="22"/>
        </w:rPr>
        <w:t xml:space="preserve"> </w:t>
      </w:r>
      <w:proofErr w:type="spellStart"/>
      <w:r w:rsidRPr="00A73FC2">
        <w:rPr>
          <w:sz w:val="22"/>
          <w:szCs w:val="22"/>
        </w:rPr>
        <w:t>with</w:t>
      </w:r>
      <w:proofErr w:type="spellEnd"/>
      <w:r w:rsidRPr="00A73FC2">
        <w:rPr>
          <w:sz w:val="22"/>
          <w:szCs w:val="22"/>
        </w:rPr>
        <w:t xml:space="preserve"> </w:t>
      </w:r>
      <w:proofErr w:type="spellStart"/>
      <w:r w:rsidRPr="00A73FC2">
        <w:rPr>
          <w:sz w:val="22"/>
          <w:szCs w:val="22"/>
        </w:rPr>
        <w:t>risk</w:t>
      </w:r>
      <w:proofErr w:type="spellEnd"/>
      <w:r w:rsidRPr="00A73FC2">
        <w:rPr>
          <w:sz w:val="22"/>
          <w:szCs w:val="22"/>
        </w:rPr>
        <w:t xml:space="preserve">: </w:t>
      </w:r>
      <w:proofErr w:type="spellStart"/>
      <w:r w:rsidRPr="00A73FC2">
        <w:rPr>
          <w:sz w:val="22"/>
          <w:szCs w:val="22"/>
        </w:rPr>
        <w:t>Learning</w:t>
      </w:r>
      <w:proofErr w:type="spellEnd"/>
      <w:r w:rsidRPr="00A73FC2">
        <w:rPr>
          <w:sz w:val="22"/>
          <w:szCs w:val="22"/>
        </w:rPr>
        <w:t xml:space="preserve"> </w:t>
      </w:r>
      <w:proofErr w:type="spellStart"/>
      <w:r w:rsidRPr="00A73FC2">
        <w:rPr>
          <w:sz w:val="22"/>
          <w:szCs w:val="22"/>
        </w:rPr>
        <w:t>to</w:t>
      </w:r>
      <w:proofErr w:type="spellEnd"/>
      <w:r w:rsidRPr="00A73FC2">
        <w:rPr>
          <w:sz w:val="22"/>
          <w:szCs w:val="22"/>
        </w:rPr>
        <w:t xml:space="preserve"> </w:t>
      </w:r>
      <w:proofErr w:type="spellStart"/>
      <w:r w:rsidRPr="00A73FC2">
        <w:rPr>
          <w:sz w:val="22"/>
          <w:szCs w:val="22"/>
        </w:rPr>
        <w:t>live</w:t>
      </w:r>
      <w:proofErr w:type="spellEnd"/>
      <w:r w:rsidRPr="00A73FC2">
        <w:rPr>
          <w:sz w:val="22"/>
          <w:szCs w:val="22"/>
        </w:rPr>
        <w:t xml:space="preserve"> </w:t>
      </w:r>
      <w:proofErr w:type="spellStart"/>
      <w:r w:rsidRPr="00A73FC2">
        <w:rPr>
          <w:sz w:val="22"/>
          <w:szCs w:val="22"/>
        </w:rPr>
        <w:t>with</w:t>
      </w:r>
      <w:proofErr w:type="spellEnd"/>
      <w:r w:rsidRPr="00A73FC2">
        <w:rPr>
          <w:sz w:val="22"/>
          <w:szCs w:val="22"/>
        </w:rPr>
        <w:t xml:space="preserve"> </w:t>
      </w:r>
      <w:proofErr w:type="spellStart"/>
      <w:r w:rsidRPr="00A73FC2">
        <w:rPr>
          <w:sz w:val="22"/>
          <w:szCs w:val="22"/>
        </w:rPr>
        <w:t>uncertainty</w:t>
      </w:r>
      <w:proofErr w:type="spellEnd"/>
      <w:r w:rsidRPr="00A73FC2">
        <w:rPr>
          <w:sz w:val="22"/>
          <w:szCs w:val="22"/>
        </w:rPr>
        <w:t xml:space="preserve">. </w:t>
      </w:r>
      <w:proofErr w:type="spellStart"/>
      <w:r w:rsidRPr="00A73FC2">
        <w:rPr>
          <w:sz w:val="22"/>
          <w:szCs w:val="22"/>
        </w:rPr>
        <w:t>Penguin</w:t>
      </w:r>
      <w:proofErr w:type="spellEnd"/>
      <w:r w:rsidRPr="00A73FC2">
        <w:rPr>
          <w:sz w:val="22"/>
          <w:szCs w:val="22"/>
        </w:rPr>
        <w:t xml:space="preserve"> Books.</w:t>
      </w:r>
    </w:p>
    <w:p w:rsidRPr="00A73FC2" w:rsidR="00A73FC2" w:rsidP="00A73FC2" w:rsidRDefault="00A73FC2" w14:paraId="40612E28" w14:textId="77777777">
      <w:pPr>
        <w:spacing w:after="0"/>
        <w:jc w:val="both"/>
        <w:rPr>
          <w:sz w:val="22"/>
          <w:szCs w:val="22"/>
        </w:rPr>
      </w:pPr>
    </w:p>
    <w:p w:rsidRPr="00A73FC2" w:rsidR="00A73FC2" w:rsidP="00A73FC2" w:rsidRDefault="00A73FC2" w14:paraId="6B348560" w14:textId="77777777">
      <w:pPr>
        <w:spacing w:after="0"/>
        <w:jc w:val="both"/>
        <w:rPr>
          <w:sz w:val="22"/>
          <w:szCs w:val="22"/>
        </w:rPr>
      </w:pPr>
      <w:r w:rsidRPr="00A73FC2">
        <w:rPr>
          <w:sz w:val="22"/>
          <w:szCs w:val="22"/>
        </w:rPr>
        <w:t>González, M. (2017). Política energética y subsidios estatales en América Latina. Siglo XXI.</w:t>
      </w:r>
    </w:p>
    <w:p w:rsidRPr="00A73FC2" w:rsidR="00A73FC2" w:rsidP="00A73FC2" w:rsidRDefault="00A73FC2" w14:paraId="58EDB3B4" w14:textId="77777777">
      <w:pPr>
        <w:spacing w:after="0"/>
        <w:jc w:val="both"/>
        <w:rPr>
          <w:sz w:val="22"/>
          <w:szCs w:val="22"/>
        </w:rPr>
      </w:pPr>
    </w:p>
    <w:p w:rsidRPr="00A73FC2" w:rsidR="00A73FC2" w:rsidP="00A73FC2" w:rsidRDefault="00A73FC2" w14:paraId="3213D5BC" w14:textId="77777777">
      <w:pPr>
        <w:spacing w:after="0"/>
        <w:jc w:val="both"/>
        <w:rPr>
          <w:sz w:val="22"/>
          <w:szCs w:val="22"/>
        </w:rPr>
      </w:pPr>
      <w:r w:rsidRPr="00A73FC2">
        <w:rPr>
          <w:sz w:val="22"/>
          <w:szCs w:val="22"/>
        </w:rPr>
        <w:t xml:space="preserve">Hacking, I. (1990). The </w:t>
      </w:r>
      <w:proofErr w:type="spellStart"/>
      <w:r w:rsidRPr="00A73FC2">
        <w:rPr>
          <w:sz w:val="22"/>
          <w:szCs w:val="22"/>
        </w:rPr>
        <w:t>taming</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chance. Cambridge </w:t>
      </w:r>
      <w:proofErr w:type="spellStart"/>
      <w:r w:rsidRPr="00A73FC2">
        <w:rPr>
          <w:sz w:val="22"/>
          <w:szCs w:val="22"/>
        </w:rPr>
        <w:t>University</w:t>
      </w:r>
      <w:proofErr w:type="spellEnd"/>
      <w:r w:rsidRPr="00A73FC2">
        <w:rPr>
          <w:sz w:val="22"/>
          <w:szCs w:val="22"/>
        </w:rPr>
        <w:t xml:space="preserve"> Press.</w:t>
      </w:r>
    </w:p>
    <w:p w:rsidRPr="00A73FC2" w:rsidR="00A73FC2" w:rsidP="00A73FC2" w:rsidRDefault="00A73FC2" w14:paraId="3DFB62DE" w14:textId="77777777">
      <w:pPr>
        <w:spacing w:after="0"/>
        <w:jc w:val="both"/>
        <w:rPr>
          <w:sz w:val="22"/>
          <w:szCs w:val="22"/>
        </w:rPr>
      </w:pPr>
    </w:p>
    <w:p w:rsidRPr="00A73FC2" w:rsidR="00A73FC2" w:rsidP="00A73FC2" w:rsidRDefault="00A73FC2" w14:paraId="700CA2C1" w14:textId="77777777">
      <w:pPr>
        <w:spacing w:after="0"/>
        <w:jc w:val="both"/>
        <w:rPr>
          <w:sz w:val="22"/>
          <w:szCs w:val="22"/>
        </w:rPr>
      </w:pPr>
      <w:proofErr w:type="spellStart"/>
      <w:r w:rsidRPr="00A73FC2">
        <w:rPr>
          <w:sz w:val="22"/>
          <w:szCs w:val="22"/>
        </w:rPr>
        <w:t>Hajikazemi</w:t>
      </w:r>
      <w:proofErr w:type="spellEnd"/>
      <w:r w:rsidRPr="00A73FC2">
        <w:rPr>
          <w:sz w:val="22"/>
          <w:szCs w:val="22"/>
        </w:rPr>
        <w:t xml:space="preserve">, S., et al. (2020). </w:t>
      </w:r>
      <w:proofErr w:type="spellStart"/>
      <w:r w:rsidRPr="00A73FC2">
        <w:rPr>
          <w:sz w:val="22"/>
          <w:szCs w:val="22"/>
        </w:rPr>
        <w:t>Normalising</w:t>
      </w:r>
      <w:proofErr w:type="spellEnd"/>
      <w:r w:rsidRPr="00A73FC2">
        <w:rPr>
          <w:sz w:val="22"/>
          <w:szCs w:val="22"/>
        </w:rPr>
        <w:t xml:space="preserve"> </w:t>
      </w:r>
      <w:proofErr w:type="spellStart"/>
      <w:r w:rsidRPr="00A73FC2">
        <w:rPr>
          <w:sz w:val="22"/>
          <w:szCs w:val="22"/>
        </w:rPr>
        <w:t>deviance</w:t>
      </w:r>
      <w:proofErr w:type="spellEnd"/>
      <w:r w:rsidRPr="00A73FC2">
        <w:rPr>
          <w:sz w:val="22"/>
          <w:szCs w:val="22"/>
        </w:rPr>
        <w:t xml:space="preserve"> in </w:t>
      </w:r>
      <w:proofErr w:type="spellStart"/>
      <w:r w:rsidRPr="00A73FC2">
        <w:rPr>
          <w:sz w:val="22"/>
          <w:szCs w:val="22"/>
        </w:rPr>
        <w:t>construction</w:t>
      </w:r>
      <w:proofErr w:type="spellEnd"/>
      <w:r w:rsidRPr="00A73FC2">
        <w:rPr>
          <w:sz w:val="22"/>
          <w:szCs w:val="22"/>
        </w:rPr>
        <w:t xml:space="preserve"> </w:t>
      </w:r>
      <w:proofErr w:type="spellStart"/>
      <w:r w:rsidRPr="00A73FC2">
        <w:rPr>
          <w:sz w:val="22"/>
          <w:szCs w:val="22"/>
        </w:rPr>
        <w:t>organizations</w:t>
      </w:r>
      <w:proofErr w:type="spellEnd"/>
      <w:r w:rsidRPr="00A73FC2">
        <w:rPr>
          <w:sz w:val="22"/>
          <w:szCs w:val="22"/>
        </w:rPr>
        <w:t xml:space="preserve">. </w:t>
      </w:r>
      <w:proofErr w:type="spellStart"/>
      <w:r w:rsidRPr="00A73FC2">
        <w:rPr>
          <w:sz w:val="22"/>
          <w:szCs w:val="22"/>
        </w:rPr>
        <w:t>Construction</w:t>
      </w:r>
      <w:proofErr w:type="spellEnd"/>
      <w:r w:rsidRPr="00A73FC2">
        <w:rPr>
          <w:sz w:val="22"/>
          <w:szCs w:val="22"/>
        </w:rPr>
        <w:t xml:space="preserve"> Management and </w:t>
      </w:r>
      <w:proofErr w:type="spellStart"/>
      <w:r w:rsidRPr="00A73FC2">
        <w:rPr>
          <w:sz w:val="22"/>
          <w:szCs w:val="22"/>
        </w:rPr>
        <w:t>Economics</w:t>
      </w:r>
      <w:proofErr w:type="spellEnd"/>
      <w:r w:rsidRPr="00A73FC2">
        <w:rPr>
          <w:sz w:val="22"/>
          <w:szCs w:val="22"/>
        </w:rPr>
        <w:t>, 38(12), 1122–1138.</w:t>
      </w:r>
    </w:p>
    <w:p w:rsidRPr="00A73FC2" w:rsidR="00A73FC2" w:rsidP="00A73FC2" w:rsidRDefault="00A73FC2" w14:paraId="2FCCCA96" w14:textId="77777777">
      <w:pPr>
        <w:spacing w:after="0"/>
        <w:jc w:val="both"/>
        <w:rPr>
          <w:sz w:val="22"/>
          <w:szCs w:val="22"/>
        </w:rPr>
      </w:pPr>
    </w:p>
    <w:p w:rsidRPr="00A73FC2" w:rsidR="00A73FC2" w:rsidP="00A73FC2" w:rsidRDefault="00A73FC2" w14:paraId="5E84BBB9" w14:textId="77777777">
      <w:pPr>
        <w:spacing w:after="0"/>
        <w:jc w:val="both"/>
        <w:rPr>
          <w:sz w:val="22"/>
          <w:szCs w:val="22"/>
        </w:rPr>
      </w:pPr>
      <w:r w:rsidRPr="00A73FC2">
        <w:rPr>
          <w:sz w:val="22"/>
          <w:szCs w:val="22"/>
        </w:rPr>
        <w:t xml:space="preserve">Hall, J. L. (2003). </w:t>
      </w:r>
      <w:proofErr w:type="spellStart"/>
      <w:r w:rsidRPr="00A73FC2">
        <w:rPr>
          <w:sz w:val="22"/>
          <w:szCs w:val="22"/>
        </w:rPr>
        <w:t>Organizational</w:t>
      </w:r>
      <w:proofErr w:type="spellEnd"/>
      <w:r w:rsidRPr="00A73FC2">
        <w:rPr>
          <w:sz w:val="22"/>
          <w:szCs w:val="22"/>
        </w:rPr>
        <w:t xml:space="preserve"> </w:t>
      </w:r>
      <w:proofErr w:type="spellStart"/>
      <w:r w:rsidRPr="00A73FC2">
        <w:rPr>
          <w:sz w:val="22"/>
          <w:szCs w:val="22"/>
        </w:rPr>
        <w:t>failure</w:t>
      </w:r>
      <w:proofErr w:type="spellEnd"/>
      <w:r w:rsidRPr="00A73FC2">
        <w:rPr>
          <w:sz w:val="22"/>
          <w:szCs w:val="22"/>
        </w:rPr>
        <w:t xml:space="preserve"> at NASA. Space Policy, 19(4), 239–247.</w:t>
      </w:r>
    </w:p>
    <w:p w:rsidRPr="00A73FC2" w:rsidR="00A73FC2" w:rsidP="00A73FC2" w:rsidRDefault="00A73FC2" w14:paraId="2522A33E" w14:textId="77777777">
      <w:pPr>
        <w:spacing w:after="0"/>
        <w:jc w:val="both"/>
        <w:rPr>
          <w:sz w:val="22"/>
          <w:szCs w:val="22"/>
        </w:rPr>
      </w:pPr>
    </w:p>
    <w:p w:rsidRPr="00A73FC2" w:rsidR="00A73FC2" w:rsidP="00A73FC2" w:rsidRDefault="00A73FC2" w14:paraId="3CDD3EBE" w14:textId="77777777">
      <w:pPr>
        <w:spacing w:after="0"/>
        <w:jc w:val="both"/>
        <w:rPr>
          <w:sz w:val="22"/>
          <w:szCs w:val="22"/>
        </w:rPr>
      </w:pPr>
      <w:r w:rsidRPr="00A73FC2">
        <w:rPr>
          <w:sz w:val="22"/>
          <w:szCs w:val="22"/>
        </w:rPr>
        <w:lastRenderedPageBreak/>
        <w:t xml:space="preserve">Hood, C. (1991). </w:t>
      </w:r>
      <w:proofErr w:type="gramStart"/>
      <w:r w:rsidRPr="00A73FC2">
        <w:rPr>
          <w:sz w:val="22"/>
          <w:szCs w:val="22"/>
        </w:rPr>
        <w:t xml:space="preserve">A </w:t>
      </w:r>
      <w:proofErr w:type="spellStart"/>
      <w:r w:rsidRPr="00A73FC2">
        <w:rPr>
          <w:sz w:val="22"/>
          <w:szCs w:val="22"/>
        </w:rPr>
        <w:t>public</w:t>
      </w:r>
      <w:proofErr w:type="spellEnd"/>
      <w:r w:rsidRPr="00A73FC2">
        <w:rPr>
          <w:sz w:val="22"/>
          <w:szCs w:val="22"/>
        </w:rPr>
        <w:t xml:space="preserve"> </w:t>
      </w:r>
      <w:proofErr w:type="spellStart"/>
      <w:r w:rsidRPr="00A73FC2">
        <w:rPr>
          <w:sz w:val="22"/>
          <w:szCs w:val="22"/>
        </w:rPr>
        <w:t>management</w:t>
      </w:r>
      <w:proofErr w:type="spellEnd"/>
      <w:r w:rsidRPr="00A73FC2">
        <w:rPr>
          <w:sz w:val="22"/>
          <w:szCs w:val="22"/>
        </w:rPr>
        <w:t xml:space="preserve"> </w:t>
      </w:r>
      <w:proofErr w:type="spellStart"/>
      <w:r w:rsidRPr="00A73FC2">
        <w:rPr>
          <w:sz w:val="22"/>
          <w:szCs w:val="22"/>
        </w:rPr>
        <w:t>for</w:t>
      </w:r>
      <w:proofErr w:type="spellEnd"/>
      <w:r w:rsidRPr="00A73FC2">
        <w:rPr>
          <w:sz w:val="22"/>
          <w:szCs w:val="22"/>
        </w:rPr>
        <w:t xml:space="preserve"> </w:t>
      </w:r>
      <w:proofErr w:type="spellStart"/>
      <w:r w:rsidRPr="00A73FC2">
        <w:rPr>
          <w:sz w:val="22"/>
          <w:szCs w:val="22"/>
        </w:rPr>
        <w:t>all</w:t>
      </w:r>
      <w:proofErr w:type="spellEnd"/>
      <w:r w:rsidRPr="00A73FC2">
        <w:rPr>
          <w:sz w:val="22"/>
          <w:szCs w:val="22"/>
        </w:rPr>
        <w:t xml:space="preserve"> </w:t>
      </w:r>
      <w:proofErr w:type="spellStart"/>
      <w:r w:rsidRPr="00A73FC2">
        <w:rPr>
          <w:sz w:val="22"/>
          <w:szCs w:val="22"/>
        </w:rPr>
        <w:t>seasons</w:t>
      </w:r>
      <w:proofErr w:type="spellEnd"/>
      <w:r w:rsidRPr="00A73FC2">
        <w:rPr>
          <w:sz w:val="22"/>
          <w:szCs w:val="22"/>
        </w:rPr>
        <w:t>?</w:t>
      </w:r>
      <w:proofErr w:type="gramEnd"/>
      <w:r w:rsidRPr="00A73FC2">
        <w:rPr>
          <w:sz w:val="22"/>
          <w:szCs w:val="22"/>
        </w:rPr>
        <w:t xml:space="preserve"> Public </w:t>
      </w:r>
      <w:proofErr w:type="spellStart"/>
      <w:r w:rsidRPr="00A73FC2">
        <w:rPr>
          <w:sz w:val="22"/>
          <w:szCs w:val="22"/>
        </w:rPr>
        <w:t>Administration</w:t>
      </w:r>
      <w:proofErr w:type="spellEnd"/>
      <w:r w:rsidRPr="00A73FC2">
        <w:rPr>
          <w:sz w:val="22"/>
          <w:szCs w:val="22"/>
        </w:rPr>
        <w:t>, 69(1), 3–19.</w:t>
      </w:r>
    </w:p>
    <w:p w:rsidRPr="00A73FC2" w:rsidR="00A73FC2" w:rsidP="00A73FC2" w:rsidRDefault="00A73FC2" w14:paraId="0EBCC1DD" w14:textId="77777777">
      <w:pPr>
        <w:spacing w:after="0"/>
        <w:jc w:val="both"/>
        <w:rPr>
          <w:sz w:val="22"/>
          <w:szCs w:val="22"/>
        </w:rPr>
      </w:pPr>
    </w:p>
    <w:p w:rsidRPr="00A73FC2" w:rsidR="00A73FC2" w:rsidP="00A73FC2" w:rsidRDefault="00A73FC2" w14:paraId="7A65EFA8" w14:textId="77777777">
      <w:pPr>
        <w:spacing w:after="0"/>
        <w:jc w:val="both"/>
        <w:rPr>
          <w:sz w:val="22"/>
          <w:szCs w:val="22"/>
        </w:rPr>
      </w:pPr>
      <w:r w:rsidRPr="00A73FC2">
        <w:rPr>
          <w:sz w:val="22"/>
          <w:szCs w:val="22"/>
        </w:rPr>
        <w:t>ISO Tools. (2022). Guía para la gestión de riesgos corporativos.</w:t>
      </w:r>
    </w:p>
    <w:p w:rsidRPr="00A73FC2" w:rsidR="00A73FC2" w:rsidP="00A73FC2" w:rsidRDefault="00A73FC2" w14:paraId="33A7FEF6" w14:textId="77777777">
      <w:pPr>
        <w:spacing w:after="0"/>
        <w:jc w:val="both"/>
        <w:rPr>
          <w:sz w:val="22"/>
          <w:szCs w:val="22"/>
        </w:rPr>
      </w:pPr>
    </w:p>
    <w:p w:rsidRPr="00A73FC2" w:rsidR="00A73FC2" w:rsidP="00A73FC2" w:rsidRDefault="00A73FC2" w14:paraId="4EECF1D1" w14:textId="77777777">
      <w:pPr>
        <w:spacing w:after="0"/>
        <w:jc w:val="both"/>
        <w:rPr>
          <w:sz w:val="22"/>
          <w:szCs w:val="22"/>
        </w:rPr>
      </w:pPr>
      <w:r w:rsidRPr="00A73FC2">
        <w:rPr>
          <w:sz w:val="22"/>
          <w:szCs w:val="22"/>
        </w:rPr>
        <w:t xml:space="preserve">Kahneman, D. (2011). </w:t>
      </w:r>
      <w:proofErr w:type="spellStart"/>
      <w:r w:rsidRPr="00A73FC2">
        <w:rPr>
          <w:sz w:val="22"/>
          <w:szCs w:val="22"/>
        </w:rPr>
        <w:t>Thinking</w:t>
      </w:r>
      <w:proofErr w:type="spellEnd"/>
      <w:r w:rsidRPr="00A73FC2">
        <w:rPr>
          <w:sz w:val="22"/>
          <w:szCs w:val="22"/>
        </w:rPr>
        <w:t xml:space="preserve">, </w:t>
      </w:r>
      <w:proofErr w:type="spellStart"/>
      <w:r w:rsidRPr="00A73FC2">
        <w:rPr>
          <w:sz w:val="22"/>
          <w:szCs w:val="22"/>
        </w:rPr>
        <w:t>fast</w:t>
      </w:r>
      <w:proofErr w:type="spellEnd"/>
      <w:r w:rsidRPr="00A73FC2">
        <w:rPr>
          <w:sz w:val="22"/>
          <w:szCs w:val="22"/>
        </w:rPr>
        <w:t xml:space="preserve"> and </w:t>
      </w:r>
      <w:proofErr w:type="spellStart"/>
      <w:r w:rsidRPr="00A73FC2">
        <w:rPr>
          <w:sz w:val="22"/>
          <w:szCs w:val="22"/>
        </w:rPr>
        <w:t>slow</w:t>
      </w:r>
      <w:proofErr w:type="spellEnd"/>
      <w:r w:rsidRPr="00A73FC2">
        <w:rPr>
          <w:sz w:val="22"/>
          <w:szCs w:val="22"/>
        </w:rPr>
        <w:t>. Farrar, Straus and Giroux.</w:t>
      </w:r>
    </w:p>
    <w:p w:rsidRPr="00A73FC2" w:rsidR="00A73FC2" w:rsidP="00A73FC2" w:rsidRDefault="00A73FC2" w14:paraId="7305BF95" w14:textId="77777777">
      <w:pPr>
        <w:spacing w:after="0"/>
        <w:jc w:val="both"/>
        <w:rPr>
          <w:sz w:val="22"/>
          <w:szCs w:val="22"/>
        </w:rPr>
      </w:pPr>
    </w:p>
    <w:p w:rsidRPr="00A73FC2" w:rsidR="00A73FC2" w:rsidP="00A73FC2" w:rsidRDefault="00A73FC2" w14:paraId="3E939D1B" w14:textId="77777777">
      <w:pPr>
        <w:spacing w:after="0"/>
        <w:jc w:val="both"/>
        <w:rPr>
          <w:sz w:val="22"/>
          <w:szCs w:val="22"/>
        </w:rPr>
      </w:pPr>
      <w:r w:rsidRPr="00A73FC2">
        <w:rPr>
          <w:sz w:val="22"/>
          <w:szCs w:val="22"/>
        </w:rPr>
        <w:t xml:space="preserve">Kaplan, R. S., &amp; Norton, D. P. (2008). The </w:t>
      </w:r>
      <w:proofErr w:type="spellStart"/>
      <w:r w:rsidRPr="00A73FC2">
        <w:rPr>
          <w:sz w:val="22"/>
          <w:szCs w:val="22"/>
        </w:rPr>
        <w:t>execution</w:t>
      </w:r>
      <w:proofErr w:type="spellEnd"/>
      <w:r w:rsidRPr="00A73FC2">
        <w:rPr>
          <w:sz w:val="22"/>
          <w:szCs w:val="22"/>
        </w:rPr>
        <w:t xml:space="preserve"> premium. Harvard Business Press.</w:t>
      </w:r>
    </w:p>
    <w:p w:rsidRPr="00A73FC2" w:rsidR="00A73FC2" w:rsidP="00A73FC2" w:rsidRDefault="00A73FC2" w14:paraId="3FFEF6E4" w14:textId="77777777">
      <w:pPr>
        <w:spacing w:after="0"/>
        <w:jc w:val="both"/>
        <w:rPr>
          <w:sz w:val="22"/>
          <w:szCs w:val="22"/>
        </w:rPr>
      </w:pPr>
    </w:p>
    <w:p w:rsidRPr="00A73FC2" w:rsidR="00A73FC2" w:rsidP="00A73FC2" w:rsidRDefault="00A73FC2" w14:paraId="335259C0" w14:textId="77777777">
      <w:pPr>
        <w:spacing w:after="0"/>
        <w:jc w:val="both"/>
        <w:rPr>
          <w:sz w:val="22"/>
          <w:szCs w:val="22"/>
        </w:rPr>
      </w:pPr>
      <w:r w:rsidRPr="00A73FC2">
        <w:rPr>
          <w:sz w:val="22"/>
          <w:szCs w:val="22"/>
        </w:rPr>
        <w:t xml:space="preserve">March, J. G. (1994). A primer </w:t>
      </w:r>
      <w:proofErr w:type="spellStart"/>
      <w:r w:rsidRPr="00A73FC2">
        <w:rPr>
          <w:sz w:val="22"/>
          <w:szCs w:val="22"/>
        </w:rPr>
        <w:t>on</w:t>
      </w:r>
      <w:proofErr w:type="spellEnd"/>
      <w:r w:rsidRPr="00A73FC2">
        <w:rPr>
          <w:sz w:val="22"/>
          <w:szCs w:val="22"/>
        </w:rPr>
        <w:t xml:space="preserve"> </w:t>
      </w:r>
      <w:proofErr w:type="spellStart"/>
      <w:r w:rsidRPr="00A73FC2">
        <w:rPr>
          <w:sz w:val="22"/>
          <w:szCs w:val="22"/>
        </w:rPr>
        <w:t>decision</w:t>
      </w:r>
      <w:proofErr w:type="spellEnd"/>
      <w:r w:rsidRPr="00A73FC2">
        <w:rPr>
          <w:sz w:val="22"/>
          <w:szCs w:val="22"/>
        </w:rPr>
        <w:t xml:space="preserve"> </w:t>
      </w:r>
      <w:proofErr w:type="spellStart"/>
      <w:r w:rsidRPr="00A73FC2">
        <w:rPr>
          <w:sz w:val="22"/>
          <w:szCs w:val="22"/>
        </w:rPr>
        <w:t>making</w:t>
      </w:r>
      <w:proofErr w:type="spellEnd"/>
      <w:r w:rsidRPr="00A73FC2">
        <w:rPr>
          <w:sz w:val="22"/>
          <w:szCs w:val="22"/>
        </w:rPr>
        <w:t>. Free Press.</w:t>
      </w:r>
    </w:p>
    <w:p w:rsidRPr="00A73FC2" w:rsidR="00A73FC2" w:rsidP="00A73FC2" w:rsidRDefault="00A73FC2" w14:paraId="7949FB2E" w14:textId="77777777">
      <w:pPr>
        <w:spacing w:after="0"/>
        <w:jc w:val="both"/>
        <w:rPr>
          <w:sz w:val="22"/>
          <w:szCs w:val="22"/>
        </w:rPr>
      </w:pPr>
    </w:p>
    <w:p w:rsidRPr="00A73FC2" w:rsidR="00A73FC2" w:rsidP="00A73FC2" w:rsidRDefault="00A73FC2" w14:paraId="26360B26" w14:textId="77777777">
      <w:pPr>
        <w:spacing w:after="0"/>
        <w:jc w:val="both"/>
        <w:rPr>
          <w:sz w:val="22"/>
          <w:szCs w:val="22"/>
        </w:rPr>
      </w:pPr>
      <w:r w:rsidRPr="00A73FC2">
        <w:rPr>
          <w:sz w:val="22"/>
          <w:szCs w:val="22"/>
        </w:rPr>
        <w:t xml:space="preserve">Mintzberg, H., Ahlstrand, B., &amp; Lampel, J. (2009). </w:t>
      </w:r>
      <w:proofErr w:type="spellStart"/>
      <w:r w:rsidRPr="00A73FC2">
        <w:rPr>
          <w:sz w:val="22"/>
          <w:szCs w:val="22"/>
        </w:rPr>
        <w:t>Strategy</w:t>
      </w:r>
      <w:proofErr w:type="spellEnd"/>
      <w:r w:rsidRPr="00A73FC2">
        <w:rPr>
          <w:sz w:val="22"/>
          <w:szCs w:val="22"/>
        </w:rPr>
        <w:t xml:space="preserve"> safari. Pearson.</w:t>
      </w:r>
    </w:p>
    <w:p w:rsidRPr="00A73FC2" w:rsidR="00A73FC2" w:rsidP="00A73FC2" w:rsidRDefault="00A73FC2" w14:paraId="025678F7" w14:textId="77777777">
      <w:pPr>
        <w:spacing w:after="0"/>
        <w:jc w:val="both"/>
        <w:rPr>
          <w:sz w:val="22"/>
          <w:szCs w:val="22"/>
        </w:rPr>
      </w:pPr>
    </w:p>
    <w:p w:rsidRPr="00A73FC2" w:rsidR="00A73FC2" w:rsidP="00A73FC2" w:rsidRDefault="00A73FC2" w14:paraId="4A6B4C22" w14:textId="77777777">
      <w:pPr>
        <w:spacing w:after="0"/>
        <w:jc w:val="both"/>
        <w:rPr>
          <w:sz w:val="22"/>
          <w:szCs w:val="22"/>
        </w:rPr>
      </w:pPr>
      <w:r w:rsidRPr="00A73FC2">
        <w:rPr>
          <w:sz w:val="22"/>
          <w:szCs w:val="22"/>
        </w:rPr>
        <w:t>Mora Navarro, O. E. (2022). Gestión de riesgos. Administración &amp; Desarrollo, 52(1), 4–19. https://doi.org/10.22431/25005227.vol52n1.1</w:t>
      </w:r>
    </w:p>
    <w:p w:rsidRPr="00A73FC2" w:rsidR="00A73FC2" w:rsidP="00A73FC2" w:rsidRDefault="00A73FC2" w14:paraId="11549B3C" w14:textId="77777777">
      <w:pPr>
        <w:spacing w:after="0"/>
        <w:jc w:val="both"/>
        <w:rPr>
          <w:sz w:val="22"/>
          <w:szCs w:val="22"/>
        </w:rPr>
      </w:pPr>
    </w:p>
    <w:p w:rsidRPr="00A73FC2" w:rsidR="00A73FC2" w:rsidP="00A73FC2" w:rsidRDefault="00A73FC2" w14:paraId="75D3FFF8" w14:textId="77777777">
      <w:pPr>
        <w:spacing w:after="0"/>
        <w:jc w:val="both"/>
        <w:rPr>
          <w:sz w:val="22"/>
          <w:szCs w:val="22"/>
        </w:rPr>
      </w:pPr>
      <w:r w:rsidRPr="00A73FC2">
        <w:rPr>
          <w:sz w:val="22"/>
          <w:szCs w:val="22"/>
        </w:rPr>
        <w:t xml:space="preserve">North, D. C. (1990). </w:t>
      </w:r>
      <w:proofErr w:type="spellStart"/>
      <w:r w:rsidRPr="00A73FC2">
        <w:rPr>
          <w:sz w:val="22"/>
          <w:szCs w:val="22"/>
        </w:rPr>
        <w:t>Institutions</w:t>
      </w:r>
      <w:proofErr w:type="spellEnd"/>
      <w:r w:rsidRPr="00A73FC2">
        <w:rPr>
          <w:sz w:val="22"/>
          <w:szCs w:val="22"/>
        </w:rPr>
        <w:t xml:space="preserve">, </w:t>
      </w:r>
      <w:proofErr w:type="spellStart"/>
      <w:r w:rsidRPr="00A73FC2">
        <w:rPr>
          <w:sz w:val="22"/>
          <w:szCs w:val="22"/>
        </w:rPr>
        <w:t>institutional</w:t>
      </w:r>
      <w:proofErr w:type="spellEnd"/>
      <w:r w:rsidRPr="00A73FC2">
        <w:rPr>
          <w:sz w:val="22"/>
          <w:szCs w:val="22"/>
        </w:rPr>
        <w:t xml:space="preserve"> </w:t>
      </w:r>
      <w:proofErr w:type="spellStart"/>
      <w:r w:rsidRPr="00A73FC2">
        <w:rPr>
          <w:sz w:val="22"/>
          <w:szCs w:val="22"/>
        </w:rPr>
        <w:t>change</w:t>
      </w:r>
      <w:proofErr w:type="spellEnd"/>
      <w:r w:rsidRPr="00A73FC2">
        <w:rPr>
          <w:sz w:val="22"/>
          <w:szCs w:val="22"/>
        </w:rPr>
        <w:t xml:space="preserve"> and </w:t>
      </w:r>
      <w:proofErr w:type="spellStart"/>
      <w:r w:rsidRPr="00A73FC2">
        <w:rPr>
          <w:sz w:val="22"/>
          <w:szCs w:val="22"/>
        </w:rPr>
        <w:t>economic</w:t>
      </w:r>
      <w:proofErr w:type="spellEnd"/>
      <w:r w:rsidRPr="00A73FC2">
        <w:rPr>
          <w:sz w:val="22"/>
          <w:szCs w:val="22"/>
        </w:rPr>
        <w:t xml:space="preserve"> performance. Cambridge </w:t>
      </w:r>
      <w:proofErr w:type="spellStart"/>
      <w:r w:rsidRPr="00A73FC2">
        <w:rPr>
          <w:sz w:val="22"/>
          <w:szCs w:val="22"/>
        </w:rPr>
        <w:t>University</w:t>
      </w:r>
      <w:proofErr w:type="spellEnd"/>
      <w:r w:rsidRPr="00A73FC2">
        <w:rPr>
          <w:sz w:val="22"/>
          <w:szCs w:val="22"/>
        </w:rPr>
        <w:t xml:space="preserve"> Press.</w:t>
      </w:r>
    </w:p>
    <w:p w:rsidRPr="00A73FC2" w:rsidR="00A73FC2" w:rsidP="00A73FC2" w:rsidRDefault="00A73FC2" w14:paraId="610FCF9E" w14:textId="77777777">
      <w:pPr>
        <w:spacing w:after="0"/>
        <w:jc w:val="both"/>
        <w:rPr>
          <w:sz w:val="22"/>
          <w:szCs w:val="22"/>
        </w:rPr>
      </w:pPr>
    </w:p>
    <w:p w:rsidRPr="00A73FC2" w:rsidR="00A73FC2" w:rsidP="00A73FC2" w:rsidRDefault="00A73FC2" w14:paraId="369CCA6C" w14:textId="77777777">
      <w:pPr>
        <w:spacing w:after="0"/>
        <w:jc w:val="both"/>
        <w:rPr>
          <w:sz w:val="22"/>
          <w:szCs w:val="22"/>
        </w:rPr>
      </w:pPr>
      <w:r w:rsidRPr="00A73FC2">
        <w:rPr>
          <w:sz w:val="22"/>
          <w:szCs w:val="22"/>
        </w:rPr>
        <w:t xml:space="preserve">Perrow, C. (1984). Normal </w:t>
      </w:r>
      <w:proofErr w:type="spellStart"/>
      <w:r w:rsidRPr="00A73FC2">
        <w:rPr>
          <w:sz w:val="22"/>
          <w:szCs w:val="22"/>
        </w:rPr>
        <w:t>accidents</w:t>
      </w:r>
      <w:proofErr w:type="spellEnd"/>
      <w:r w:rsidRPr="00A73FC2">
        <w:rPr>
          <w:sz w:val="22"/>
          <w:szCs w:val="22"/>
        </w:rPr>
        <w:t xml:space="preserve">. Princeton </w:t>
      </w:r>
      <w:proofErr w:type="spellStart"/>
      <w:r w:rsidRPr="00A73FC2">
        <w:rPr>
          <w:sz w:val="22"/>
          <w:szCs w:val="22"/>
        </w:rPr>
        <w:t>University</w:t>
      </w:r>
      <w:proofErr w:type="spellEnd"/>
      <w:r w:rsidRPr="00A73FC2">
        <w:rPr>
          <w:sz w:val="22"/>
          <w:szCs w:val="22"/>
        </w:rPr>
        <w:t xml:space="preserve"> Press.</w:t>
      </w:r>
    </w:p>
    <w:p w:rsidRPr="00A73FC2" w:rsidR="00A73FC2" w:rsidP="00A73FC2" w:rsidRDefault="00A73FC2" w14:paraId="380E6BE6" w14:textId="77777777">
      <w:pPr>
        <w:spacing w:after="0"/>
        <w:jc w:val="both"/>
        <w:rPr>
          <w:sz w:val="22"/>
          <w:szCs w:val="22"/>
        </w:rPr>
      </w:pPr>
    </w:p>
    <w:p w:rsidRPr="00A73FC2" w:rsidR="00A73FC2" w:rsidP="00A73FC2" w:rsidRDefault="00A73FC2" w14:paraId="1C4E2827" w14:textId="77777777">
      <w:pPr>
        <w:spacing w:after="0"/>
        <w:jc w:val="both"/>
        <w:rPr>
          <w:sz w:val="22"/>
          <w:szCs w:val="22"/>
        </w:rPr>
      </w:pPr>
      <w:r w:rsidRPr="00A73FC2">
        <w:rPr>
          <w:sz w:val="22"/>
          <w:szCs w:val="22"/>
        </w:rPr>
        <w:t xml:space="preserve">Pfeffer, J., &amp; </w:t>
      </w:r>
      <w:proofErr w:type="spellStart"/>
      <w:r w:rsidRPr="00A73FC2">
        <w:rPr>
          <w:sz w:val="22"/>
          <w:szCs w:val="22"/>
        </w:rPr>
        <w:t>Salancik</w:t>
      </w:r>
      <w:proofErr w:type="spellEnd"/>
      <w:r w:rsidRPr="00A73FC2">
        <w:rPr>
          <w:sz w:val="22"/>
          <w:szCs w:val="22"/>
        </w:rPr>
        <w:t xml:space="preserve">, G. R. (1978). The </w:t>
      </w:r>
      <w:proofErr w:type="spellStart"/>
      <w:r w:rsidRPr="00A73FC2">
        <w:rPr>
          <w:sz w:val="22"/>
          <w:szCs w:val="22"/>
        </w:rPr>
        <w:t>external</w:t>
      </w:r>
      <w:proofErr w:type="spellEnd"/>
      <w:r w:rsidRPr="00A73FC2">
        <w:rPr>
          <w:sz w:val="22"/>
          <w:szCs w:val="22"/>
        </w:rPr>
        <w:t xml:space="preserve"> control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organizations</w:t>
      </w:r>
      <w:proofErr w:type="spellEnd"/>
      <w:r w:rsidRPr="00A73FC2">
        <w:rPr>
          <w:sz w:val="22"/>
          <w:szCs w:val="22"/>
        </w:rPr>
        <w:t>. Harper &amp; Row.</w:t>
      </w:r>
    </w:p>
    <w:p w:rsidRPr="00A73FC2" w:rsidR="00A73FC2" w:rsidP="00A73FC2" w:rsidRDefault="00A73FC2" w14:paraId="7D673296" w14:textId="77777777">
      <w:pPr>
        <w:spacing w:after="0"/>
        <w:jc w:val="both"/>
        <w:rPr>
          <w:sz w:val="22"/>
          <w:szCs w:val="22"/>
        </w:rPr>
      </w:pPr>
    </w:p>
    <w:p w:rsidRPr="00A73FC2" w:rsidR="00A73FC2" w:rsidP="00A73FC2" w:rsidRDefault="00A73FC2" w14:paraId="7B0C9D33" w14:textId="77777777">
      <w:pPr>
        <w:spacing w:after="0"/>
        <w:jc w:val="both"/>
        <w:rPr>
          <w:sz w:val="22"/>
          <w:szCs w:val="22"/>
        </w:rPr>
      </w:pPr>
      <w:r w:rsidRPr="00A73FC2">
        <w:rPr>
          <w:sz w:val="22"/>
          <w:szCs w:val="22"/>
        </w:rPr>
        <w:t xml:space="preserve">Porter, M. E. (1996). </w:t>
      </w:r>
      <w:proofErr w:type="spellStart"/>
      <w:r w:rsidRPr="00A73FC2">
        <w:rPr>
          <w:sz w:val="22"/>
          <w:szCs w:val="22"/>
        </w:rPr>
        <w:t>What</w:t>
      </w:r>
      <w:proofErr w:type="spellEnd"/>
      <w:r w:rsidRPr="00A73FC2">
        <w:rPr>
          <w:sz w:val="22"/>
          <w:szCs w:val="22"/>
        </w:rPr>
        <w:t xml:space="preserve"> </w:t>
      </w:r>
      <w:proofErr w:type="spellStart"/>
      <w:r w:rsidRPr="00A73FC2">
        <w:rPr>
          <w:sz w:val="22"/>
          <w:szCs w:val="22"/>
        </w:rPr>
        <w:t>is</w:t>
      </w:r>
      <w:proofErr w:type="spellEnd"/>
      <w:r w:rsidRPr="00A73FC2">
        <w:rPr>
          <w:sz w:val="22"/>
          <w:szCs w:val="22"/>
        </w:rPr>
        <w:t xml:space="preserve"> </w:t>
      </w:r>
      <w:proofErr w:type="spellStart"/>
      <w:r w:rsidRPr="00A73FC2">
        <w:rPr>
          <w:sz w:val="22"/>
          <w:szCs w:val="22"/>
        </w:rPr>
        <w:t>strategy</w:t>
      </w:r>
      <w:proofErr w:type="spellEnd"/>
      <w:r w:rsidRPr="00A73FC2">
        <w:rPr>
          <w:sz w:val="22"/>
          <w:szCs w:val="22"/>
        </w:rPr>
        <w:t xml:space="preserve">? Harvard Business </w:t>
      </w:r>
      <w:proofErr w:type="spellStart"/>
      <w:r w:rsidRPr="00A73FC2">
        <w:rPr>
          <w:sz w:val="22"/>
          <w:szCs w:val="22"/>
        </w:rPr>
        <w:t>Review</w:t>
      </w:r>
      <w:proofErr w:type="spellEnd"/>
      <w:r w:rsidRPr="00A73FC2">
        <w:rPr>
          <w:sz w:val="22"/>
          <w:szCs w:val="22"/>
        </w:rPr>
        <w:t>, 74(6), 61–78.</w:t>
      </w:r>
    </w:p>
    <w:p w:rsidRPr="00A73FC2" w:rsidR="00A73FC2" w:rsidP="00A73FC2" w:rsidRDefault="00A73FC2" w14:paraId="2DF79F58" w14:textId="77777777">
      <w:pPr>
        <w:spacing w:after="0"/>
        <w:jc w:val="both"/>
        <w:rPr>
          <w:sz w:val="22"/>
          <w:szCs w:val="22"/>
        </w:rPr>
      </w:pPr>
    </w:p>
    <w:p w:rsidRPr="00A73FC2" w:rsidR="00A73FC2" w:rsidP="00A73FC2" w:rsidRDefault="00A73FC2" w14:paraId="0FA8C984" w14:textId="77777777">
      <w:pPr>
        <w:spacing w:after="0"/>
        <w:jc w:val="both"/>
        <w:rPr>
          <w:sz w:val="22"/>
          <w:szCs w:val="22"/>
        </w:rPr>
      </w:pPr>
      <w:r w:rsidRPr="00A73FC2">
        <w:rPr>
          <w:sz w:val="22"/>
          <w:szCs w:val="22"/>
        </w:rPr>
        <w:t xml:space="preserve">Power, M. (2007). </w:t>
      </w:r>
      <w:proofErr w:type="spellStart"/>
      <w:r w:rsidRPr="00A73FC2">
        <w:rPr>
          <w:sz w:val="22"/>
          <w:szCs w:val="22"/>
        </w:rPr>
        <w:t>Organized</w:t>
      </w:r>
      <w:proofErr w:type="spellEnd"/>
      <w:r w:rsidRPr="00A73FC2">
        <w:rPr>
          <w:sz w:val="22"/>
          <w:szCs w:val="22"/>
        </w:rPr>
        <w:t xml:space="preserve"> </w:t>
      </w:r>
      <w:proofErr w:type="spellStart"/>
      <w:r w:rsidRPr="00A73FC2">
        <w:rPr>
          <w:sz w:val="22"/>
          <w:szCs w:val="22"/>
        </w:rPr>
        <w:t>uncertainty</w:t>
      </w:r>
      <w:proofErr w:type="spellEnd"/>
      <w:r w:rsidRPr="00A73FC2">
        <w:rPr>
          <w:sz w:val="22"/>
          <w:szCs w:val="22"/>
        </w:rPr>
        <w:t xml:space="preserve">. Oxford </w:t>
      </w:r>
      <w:proofErr w:type="spellStart"/>
      <w:r w:rsidRPr="00A73FC2">
        <w:rPr>
          <w:sz w:val="22"/>
          <w:szCs w:val="22"/>
        </w:rPr>
        <w:t>University</w:t>
      </w:r>
      <w:proofErr w:type="spellEnd"/>
      <w:r w:rsidRPr="00A73FC2">
        <w:rPr>
          <w:sz w:val="22"/>
          <w:szCs w:val="22"/>
        </w:rPr>
        <w:t xml:space="preserve"> Press.</w:t>
      </w:r>
    </w:p>
    <w:p w:rsidRPr="00A73FC2" w:rsidR="00A73FC2" w:rsidP="00A73FC2" w:rsidRDefault="00A73FC2" w14:paraId="5947788F" w14:textId="77777777">
      <w:pPr>
        <w:spacing w:after="0"/>
        <w:jc w:val="both"/>
        <w:rPr>
          <w:sz w:val="22"/>
          <w:szCs w:val="22"/>
        </w:rPr>
      </w:pPr>
    </w:p>
    <w:p w:rsidRPr="00A73FC2" w:rsidR="00A73FC2" w:rsidP="00A73FC2" w:rsidRDefault="00A73FC2" w14:paraId="25E8FB37" w14:textId="77777777">
      <w:pPr>
        <w:spacing w:after="0"/>
        <w:jc w:val="both"/>
        <w:rPr>
          <w:sz w:val="22"/>
          <w:szCs w:val="22"/>
        </w:rPr>
      </w:pPr>
      <w:r w:rsidRPr="00A73FC2">
        <w:rPr>
          <w:sz w:val="22"/>
          <w:szCs w:val="22"/>
        </w:rPr>
        <w:t>Prahalad, C. K., &amp; Ramaswamy, V. (2004). El futuro de la competencia.</w:t>
      </w:r>
    </w:p>
    <w:p w:rsidRPr="00A73FC2" w:rsidR="00A73FC2" w:rsidP="00A73FC2" w:rsidRDefault="00A73FC2" w14:paraId="75FA2AB8" w14:textId="77777777">
      <w:pPr>
        <w:spacing w:after="0"/>
        <w:jc w:val="both"/>
        <w:rPr>
          <w:sz w:val="22"/>
          <w:szCs w:val="22"/>
        </w:rPr>
      </w:pPr>
    </w:p>
    <w:p w:rsidRPr="00A73FC2" w:rsidR="00A73FC2" w:rsidP="00A73FC2" w:rsidRDefault="00A73FC2" w14:paraId="1945C876" w14:textId="77777777">
      <w:pPr>
        <w:spacing w:after="0"/>
        <w:jc w:val="both"/>
        <w:rPr>
          <w:sz w:val="22"/>
          <w:szCs w:val="22"/>
        </w:rPr>
      </w:pPr>
      <w:r w:rsidRPr="00A73FC2">
        <w:rPr>
          <w:sz w:val="22"/>
          <w:szCs w:val="22"/>
        </w:rPr>
        <w:t xml:space="preserve">Reason, J. (1990). Human error. Cambridge </w:t>
      </w:r>
      <w:proofErr w:type="spellStart"/>
      <w:r w:rsidRPr="00A73FC2">
        <w:rPr>
          <w:sz w:val="22"/>
          <w:szCs w:val="22"/>
        </w:rPr>
        <w:t>University</w:t>
      </w:r>
      <w:proofErr w:type="spellEnd"/>
      <w:r w:rsidRPr="00A73FC2">
        <w:rPr>
          <w:sz w:val="22"/>
          <w:szCs w:val="22"/>
        </w:rPr>
        <w:t xml:space="preserve"> Press.</w:t>
      </w:r>
    </w:p>
    <w:p w:rsidRPr="00A73FC2" w:rsidR="00A73FC2" w:rsidP="00A73FC2" w:rsidRDefault="00A73FC2" w14:paraId="252814D6" w14:textId="77777777">
      <w:pPr>
        <w:spacing w:after="0"/>
        <w:jc w:val="both"/>
        <w:rPr>
          <w:sz w:val="22"/>
          <w:szCs w:val="22"/>
        </w:rPr>
      </w:pPr>
    </w:p>
    <w:p w:rsidRPr="00A73FC2" w:rsidR="00A73FC2" w:rsidP="00A73FC2" w:rsidRDefault="00A73FC2" w14:paraId="0DB4118A" w14:textId="77777777">
      <w:pPr>
        <w:spacing w:after="0"/>
        <w:jc w:val="both"/>
        <w:rPr>
          <w:sz w:val="22"/>
          <w:szCs w:val="22"/>
        </w:rPr>
      </w:pPr>
      <w:r w:rsidRPr="00A73FC2">
        <w:rPr>
          <w:sz w:val="22"/>
          <w:szCs w:val="22"/>
        </w:rPr>
        <w:t xml:space="preserve">Reason, J. (1997). </w:t>
      </w:r>
      <w:proofErr w:type="spellStart"/>
      <w:r w:rsidRPr="00A73FC2">
        <w:rPr>
          <w:sz w:val="22"/>
          <w:szCs w:val="22"/>
        </w:rPr>
        <w:t>Managing</w:t>
      </w:r>
      <w:proofErr w:type="spellEnd"/>
      <w:r w:rsidRPr="00A73FC2">
        <w:rPr>
          <w:sz w:val="22"/>
          <w:szCs w:val="22"/>
        </w:rPr>
        <w:t xml:space="preserve"> </w:t>
      </w:r>
      <w:proofErr w:type="spellStart"/>
      <w:r w:rsidRPr="00A73FC2">
        <w:rPr>
          <w:sz w:val="22"/>
          <w:szCs w:val="22"/>
        </w:rPr>
        <w:t>the</w:t>
      </w:r>
      <w:proofErr w:type="spellEnd"/>
      <w:r w:rsidRPr="00A73FC2">
        <w:rPr>
          <w:sz w:val="22"/>
          <w:szCs w:val="22"/>
        </w:rPr>
        <w:t xml:space="preserve"> </w:t>
      </w:r>
      <w:proofErr w:type="spellStart"/>
      <w:r w:rsidRPr="00A73FC2">
        <w:rPr>
          <w:sz w:val="22"/>
          <w:szCs w:val="22"/>
        </w:rPr>
        <w:t>risks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organizational</w:t>
      </w:r>
      <w:proofErr w:type="spellEnd"/>
      <w:r w:rsidRPr="00A73FC2">
        <w:rPr>
          <w:sz w:val="22"/>
          <w:szCs w:val="22"/>
        </w:rPr>
        <w:t xml:space="preserve"> </w:t>
      </w:r>
      <w:proofErr w:type="spellStart"/>
      <w:r w:rsidRPr="00A73FC2">
        <w:rPr>
          <w:sz w:val="22"/>
          <w:szCs w:val="22"/>
        </w:rPr>
        <w:t>accidents</w:t>
      </w:r>
      <w:proofErr w:type="spellEnd"/>
      <w:r w:rsidRPr="00A73FC2">
        <w:rPr>
          <w:sz w:val="22"/>
          <w:szCs w:val="22"/>
        </w:rPr>
        <w:t xml:space="preserve">. </w:t>
      </w:r>
      <w:proofErr w:type="spellStart"/>
      <w:r w:rsidRPr="00A73FC2">
        <w:rPr>
          <w:sz w:val="22"/>
          <w:szCs w:val="22"/>
        </w:rPr>
        <w:t>Ashgate</w:t>
      </w:r>
      <w:proofErr w:type="spellEnd"/>
      <w:r w:rsidRPr="00A73FC2">
        <w:rPr>
          <w:sz w:val="22"/>
          <w:szCs w:val="22"/>
        </w:rPr>
        <w:t>.</w:t>
      </w:r>
    </w:p>
    <w:p w:rsidRPr="00A73FC2" w:rsidR="00A73FC2" w:rsidP="00A73FC2" w:rsidRDefault="00A73FC2" w14:paraId="50118CA9" w14:textId="77777777">
      <w:pPr>
        <w:spacing w:after="0"/>
        <w:jc w:val="both"/>
        <w:rPr>
          <w:sz w:val="22"/>
          <w:szCs w:val="22"/>
        </w:rPr>
      </w:pPr>
    </w:p>
    <w:p w:rsidRPr="00A73FC2" w:rsidR="00A73FC2" w:rsidP="00A73FC2" w:rsidRDefault="00A73FC2" w14:paraId="4C4E0BB5" w14:textId="77777777">
      <w:pPr>
        <w:spacing w:after="0"/>
        <w:jc w:val="both"/>
        <w:rPr>
          <w:sz w:val="22"/>
          <w:szCs w:val="22"/>
        </w:rPr>
      </w:pPr>
      <w:r w:rsidRPr="00A73FC2">
        <w:rPr>
          <w:sz w:val="22"/>
          <w:szCs w:val="22"/>
        </w:rPr>
        <w:t>Rodríguez Fernández, M. (2007). La problemática del riesgo en proyectos. Revista e-</w:t>
      </w:r>
      <w:proofErr w:type="spellStart"/>
      <w:r w:rsidRPr="00A73FC2">
        <w:rPr>
          <w:sz w:val="22"/>
          <w:szCs w:val="22"/>
        </w:rPr>
        <w:t>Mercatoria</w:t>
      </w:r>
      <w:proofErr w:type="spellEnd"/>
      <w:r w:rsidRPr="00A73FC2">
        <w:rPr>
          <w:sz w:val="22"/>
          <w:szCs w:val="22"/>
        </w:rPr>
        <w:t>, 6(1).</w:t>
      </w:r>
    </w:p>
    <w:p w:rsidRPr="00A73FC2" w:rsidR="00A73FC2" w:rsidP="00A73FC2" w:rsidRDefault="00A73FC2" w14:paraId="6923F033" w14:textId="77777777">
      <w:pPr>
        <w:spacing w:after="0"/>
        <w:jc w:val="both"/>
        <w:rPr>
          <w:sz w:val="22"/>
          <w:szCs w:val="22"/>
        </w:rPr>
      </w:pPr>
    </w:p>
    <w:p w:rsidRPr="00A73FC2" w:rsidR="00A73FC2" w:rsidP="00A73FC2" w:rsidRDefault="00A73FC2" w14:paraId="22C2BF61" w14:textId="77777777">
      <w:pPr>
        <w:spacing w:after="0"/>
        <w:jc w:val="both"/>
        <w:rPr>
          <w:sz w:val="22"/>
          <w:szCs w:val="22"/>
        </w:rPr>
      </w:pPr>
      <w:r w:rsidRPr="00A73FC2">
        <w:rPr>
          <w:sz w:val="22"/>
          <w:szCs w:val="22"/>
        </w:rPr>
        <w:t xml:space="preserve">Schein, E. H. (2010). </w:t>
      </w:r>
      <w:proofErr w:type="spellStart"/>
      <w:r w:rsidRPr="00A73FC2">
        <w:rPr>
          <w:sz w:val="22"/>
          <w:szCs w:val="22"/>
        </w:rPr>
        <w:t>Organizational</w:t>
      </w:r>
      <w:proofErr w:type="spellEnd"/>
      <w:r w:rsidRPr="00A73FC2">
        <w:rPr>
          <w:sz w:val="22"/>
          <w:szCs w:val="22"/>
        </w:rPr>
        <w:t xml:space="preserve"> culture and </w:t>
      </w:r>
      <w:proofErr w:type="spellStart"/>
      <w:r w:rsidRPr="00A73FC2">
        <w:rPr>
          <w:sz w:val="22"/>
          <w:szCs w:val="22"/>
        </w:rPr>
        <w:t>leadership</w:t>
      </w:r>
      <w:proofErr w:type="spellEnd"/>
      <w:r w:rsidRPr="00A73FC2">
        <w:rPr>
          <w:sz w:val="22"/>
          <w:szCs w:val="22"/>
        </w:rPr>
        <w:t xml:space="preserve"> (4th ed.). Jossey-Bass.</w:t>
      </w:r>
    </w:p>
    <w:p w:rsidRPr="00A73FC2" w:rsidR="00A73FC2" w:rsidP="00A73FC2" w:rsidRDefault="00A73FC2" w14:paraId="2434A077" w14:textId="77777777">
      <w:pPr>
        <w:spacing w:after="0"/>
        <w:jc w:val="both"/>
        <w:rPr>
          <w:sz w:val="22"/>
          <w:szCs w:val="22"/>
        </w:rPr>
      </w:pPr>
    </w:p>
    <w:p w:rsidRPr="00A73FC2" w:rsidR="00A73FC2" w:rsidP="00A73FC2" w:rsidRDefault="00A73FC2" w14:paraId="11FCBFDD" w14:textId="77777777">
      <w:pPr>
        <w:spacing w:after="0"/>
        <w:jc w:val="both"/>
        <w:rPr>
          <w:sz w:val="22"/>
          <w:szCs w:val="22"/>
        </w:rPr>
      </w:pPr>
      <w:r w:rsidRPr="00A73FC2">
        <w:rPr>
          <w:sz w:val="22"/>
          <w:szCs w:val="22"/>
        </w:rPr>
        <w:t xml:space="preserve">Selznick, P. (1966). TVA and </w:t>
      </w:r>
      <w:proofErr w:type="spellStart"/>
      <w:r w:rsidRPr="00A73FC2">
        <w:rPr>
          <w:sz w:val="22"/>
          <w:szCs w:val="22"/>
        </w:rPr>
        <w:t>the</w:t>
      </w:r>
      <w:proofErr w:type="spellEnd"/>
      <w:r w:rsidRPr="00A73FC2">
        <w:rPr>
          <w:sz w:val="22"/>
          <w:szCs w:val="22"/>
        </w:rPr>
        <w:t xml:space="preserve"> </w:t>
      </w:r>
      <w:proofErr w:type="spellStart"/>
      <w:r w:rsidRPr="00A73FC2">
        <w:rPr>
          <w:sz w:val="22"/>
          <w:szCs w:val="22"/>
        </w:rPr>
        <w:t>grass</w:t>
      </w:r>
      <w:proofErr w:type="spellEnd"/>
      <w:r w:rsidRPr="00A73FC2">
        <w:rPr>
          <w:sz w:val="22"/>
          <w:szCs w:val="22"/>
        </w:rPr>
        <w:t xml:space="preserve"> </w:t>
      </w:r>
      <w:proofErr w:type="spellStart"/>
      <w:r w:rsidRPr="00A73FC2">
        <w:rPr>
          <w:sz w:val="22"/>
          <w:szCs w:val="22"/>
        </w:rPr>
        <w:t>roots</w:t>
      </w:r>
      <w:proofErr w:type="spellEnd"/>
      <w:r w:rsidRPr="00A73FC2">
        <w:rPr>
          <w:sz w:val="22"/>
          <w:szCs w:val="22"/>
        </w:rPr>
        <w:t>. Harper &amp; Row.</w:t>
      </w:r>
    </w:p>
    <w:p w:rsidRPr="00A73FC2" w:rsidR="00A73FC2" w:rsidP="00A73FC2" w:rsidRDefault="00A73FC2" w14:paraId="28593177" w14:textId="77777777">
      <w:pPr>
        <w:spacing w:after="0"/>
        <w:jc w:val="both"/>
        <w:rPr>
          <w:sz w:val="22"/>
          <w:szCs w:val="22"/>
        </w:rPr>
      </w:pPr>
    </w:p>
    <w:p w:rsidRPr="00A73FC2" w:rsidR="00A73FC2" w:rsidP="00A73FC2" w:rsidRDefault="00A73FC2" w14:paraId="00CB7435" w14:textId="77777777">
      <w:pPr>
        <w:spacing w:after="0"/>
        <w:jc w:val="both"/>
        <w:rPr>
          <w:sz w:val="22"/>
          <w:szCs w:val="22"/>
        </w:rPr>
      </w:pPr>
      <w:proofErr w:type="spellStart"/>
      <w:r w:rsidRPr="00A73FC2">
        <w:rPr>
          <w:sz w:val="22"/>
          <w:szCs w:val="22"/>
        </w:rPr>
        <w:t>Simon</w:t>
      </w:r>
      <w:proofErr w:type="spellEnd"/>
      <w:r w:rsidRPr="00A73FC2">
        <w:rPr>
          <w:sz w:val="22"/>
          <w:szCs w:val="22"/>
        </w:rPr>
        <w:t xml:space="preserve">, H. A. (1997). Administrative </w:t>
      </w:r>
      <w:proofErr w:type="spellStart"/>
      <w:r w:rsidRPr="00A73FC2">
        <w:rPr>
          <w:sz w:val="22"/>
          <w:szCs w:val="22"/>
        </w:rPr>
        <w:t>behavior</w:t>
      </w:r>
      <w:proofErr w:type="spellEnd"/>
      <w:r w:rsidRPr="00A73FC2">
        <w:rPr>
          <w:sz w:val="22"/>
          <w:szCs w:val="22"/>
        </w:rPr>
        <w:t xml:space="preserve"> (4th ed.). Free Press.</w:t>
      </w:r>
    </w:p>
    <w:p w:rsidRPr="00A73FC2" w:rsidR="00A73FC2" w:rsidP="00A73FC2" w:rsidRDefault="00A73FC2" w14:paraId="1835BDCB" w14:textId="77777777">
      <w:pPr>
        <w:spacing w:after="0"/>
        <w:jc w:val="both"/>
        <w:rPr>
          <w:sz w:val="22"/>
          <w:szCs w:val="22"/>
        </w:rPr>
      </w:pPr>
    </w:p>
    <w:p w:rsidRPr="00A73FC2" w:rsidR="00A73FC2" w:rsidP="00A73FC2" w:rsidRDefault="00A73FC2" w14:paraId="60BED27D" w14:textId="77777777">
      <w:pPr>
        <w:spacing w:after="0"/>
        <w:jc w:val="both"/>
        <w:rPr>
          <w:sz w:val="22"/>
          <w:szCs w:val="22"/>
        </w:rPr>
      </w:pPr>
      <w:r w:rsidRPr="00A73FC2">
        <w:rPr>
          <w:sz w:val="22"/>
          <w:szCs w:val="22"/>
        </w:rPr>
        <w:lastRenderedPageBreak/>
        <w:t>Slywotzky, A. J., &amp; Drzik, J. (2007). El lado positivo.</w:t>
      </w:r>
    </w:p>
    <w:p w:rsidRPr="00A73FC2" w:rsidR="00A73FC2" w:rsidP="00A73FC2" w:rsidRDefault="00A73FC2" w14:paraId="139DDE2A" w14:textId="77777777">
      <w:pPr>
        <w:spacing w:after="0"/>
        <w:jc w:val="both"/>
        <w:rPr>
          <w:sz w:val="22"/>
          <w:szCs w:val="22"/>
        </w:rPr>
      </w:pPr>
    </w:p>
    <w:p w:rsidRPr="00A73FC2" w:rsidR="00A73FC2" w:rsidP="00A73FC2" w:rsidRDefault="00A73FC2" w14:paraId="2A60BDD6" w14:textId="77777777">
      <w:pPr>
        <w:spacing w:after="0"/>
        <w:jc w:val="both"/>
        <w:rPr>
          <w:sz w:val="22"/>
          <w:szCs w:val="22"/>
        </w:rPr>
      </w:pPr>
      <w:r w:rsidRPr="00A73FC2">
        <w:rPr>
          <w:sz w:val="22"/>
          <w:szCs w:val="22"/>
        </w:rPr>
        <w:t xml:space="preserve">Starbuck, W. H., &amp; Milliken, F. J. (1988). Challenger </w:t>
      </w:r>
      <w:proofErr w:type="spellStart"/>
      <w:r w:rsidRPr="00A73FC2">
        <w:rPr>
          <w:sz w:val="22"/>
          <w:szCs w:val="22"/>
        </w:rPr>
        <w:t>analysis</w:t>
      </w:r>
      <w:proofErr w:type="spellEnd"/>
      <w:r w:rsidRPr="00A73FC2">
        <w:rPr>
          <w:sz w:val="22"/>
          <w:szCs w:val="22"/>
        </w:rPr>
        <w:t xml:space="preserve">. </w:t>
      </w:r>
      <w:proofErr w:type="spellStart"/>
      <w:r w:rsidRPr="00A73FC2">
        <w:rPr>
          <w:sz w:val="22"/>
          <w:szCs w:val="22"/>
        </w:rPr>
        <w:t>Journal</w:t>
      </w:r>
      <w:proofErr w:type="spellEnd"/>
      <w:r w:rsidRPr="00A73FC2">
        <w:rPr>
          <w:sz w:val="22"/>
          <w:szCs w:val="22"/>
        </w:rPr>
        <w:t xml:space="preserve"> of Management </w:t>
      </w:r>
      <w:proofErr w:type="spellStart"/>
      <w:r w:rsidRPr="00A73FC2">
        <w:rPr>
          <w:sz w:val="22"/>
          <w:szCs w:val="22"/>
        </w:rPr>
        <w:t>Studies</w:t>
      </w:r>
      <w:proofErr w:type="spellEnd"/>
      <w:r w:rsidRPr="00A73FC2">
        <w:rPr>
          <w:sz w:val="22"/>
          <w:szCs w:val="22"/>
        </w:rPr>
        <w:t>, 25(4), 319–340.</w:t>
      </w:r>
    </w:p>
    <w:p w:rsidRPr="00A73FC2" w:rsidR="00A73FC2" w:rsidP="00A73FC2" w:rsidRDefault="00A73FC2" w14:paraId="5C5F86A5" w14:textId="77777777">
      <w:pPr>
        <w:spacing w:after="0"/>
        <w:jc w:val="both"/>
        <w:rPr>
          <w:sz w:val="22"/>
          <w:szCs w:val="22"/>
        </w:rPr>
      </w:pPr>
    </w:p>
    <w:p w:rsidRPr="00A73FC2" w:rsidR="00A73FC2" w:rsidP="00A73FC2" w:rsidRDefault="00A73FC2" w14:paraId="57BD41DB" w14:textId="77777777">
      <w:pPr>
        <w:spacing w:after="0"/>
        <w:jc w:val="both"/>
        <w:rPr>
          <w:sz w:val="22"/>
          <w:szCs w:val="22"/>
        </w:rPr>
      </w:pPr>
      <w:r w:rsidRPr="00A73FC2">
        <w:rPr>
          <w:sz w:val="22"/>
          <w:szCs w:val="22"/>
        </w:rPr>
        <w:t xml:space="preserve">Thomas Bohórquez, J. E. (2025). Gobernanza del riesgo. </w:t>
      </w:r>
      <w:proofErr w:type="spellStart"/>
      <w:r w:rsidRPr="00A73FC2">
        <w:rPr>
          <w:sz w:val="22"/>
          <w:szCs w:val="22"/>
        </w:rPr>
        <w:t>Scripta</w:t>
      </w:r>
      <w:proofErr w:type="spellEnd"/>
      <w:r w:rsidRPr="00A73FC2">
        <w:rPr>
          <w:sz w:val="22"/>
          <w:szCs w:val="22"/>
        </w:rPr>
        <w:t xml:space="preserve"> Nova, 29(4), 355–376.</w:t>
      </w:r>
    </w:p>
    <w:p w:rsidRPr="00A73FC2" w:rsidR="00A73FC2" w:rsidP="00A73FC2" w:rsidRDefault="00A73FC2" w14:paraId="12944734" w14:textId="77777777">
      <w:pPr>
        <w:spacing w:after="0"/>
        <w:jc w:val="both"/>
        <w:rPr>
          <w:sz w:val="22"/>
          <w:szCs w:val="22"/>
        </w:rPr>
      </w:pPr>
    </w:p>
    <w:p w:rsidRPr="00A73FC2" w:rsidR="00A73FC2" w:rsidP="00A73FC2" w:rsidRDefault="00A73FC2" w14:paraId="5D7C44CB" w14:textId="77777777">
      <w:pPr>
        <w:spacing w:after="0"/>
        <w:jc w:val="both"/>
        <w:rPr>
          <w:sz w:val="22"/>
          <w:szCs w:val="22"/>
        </w:rPr>
      </w:pPr>
      <w:r w:rsidRPr="00A73FC2">
        <w:rPr>
          <w:sz w:val="22"/>
          <w:szCs w:val="22"/>
        </w:rPr>
        <w:t>Torres, L. (2019). Regulación del sector gasífero. Revista Latinoamericana de Políticas Públicas, 12(2), 45–67.</w:t>
      </w:r>
    </w:p>
    <w:p w:rsidRPr="00A73FC2" w:rsidR="00A73FC2" w:rsidP="00A73FC2" w:rsidRDefault="00A73FC2" w14:paraId="036814B7" w14:textId="77777777">
      <w:pPr>
        <w:spacing w:after="0"/>
        <w:jc w:val="both"/>
        <w:rPr>
          <w:sz w:val="22"/>
          <w:szCs w:val="22"/>
        </w:rPr>
      </w:pPr>
    </w:p>
    <w:p w:rsidRPr="00A73FC2" w:rsidR="00A73FC2" w:rsidP="00A73FC2" w:rsidRDefault="00A73FC2" w14:paraId="4AEF5259" w14:textId="77777777">
      <w:pPr>
        <w:spacing w:after="0"/>
        <w:jc w:val="both"/>
        <w:rPr>
          <w:sz w:val="22"/>
          <w:szCs w:val="22"/>
        </w:rPr>
      </w:pPr>
      <w:proofErr w:type="spellStart"/>
      <w:r w:rsidRPr="00A73FC2">
        <w:rPr>
          <w:sz w:val="22"/>
          <w:szCs w:val="22"/>
        </w:rPr>
        <w:t>Tourish</w:t>
      </w:r>
      <w:proofErr w:type="spellEnd"/>
      <w:r w:rsidRPr="00A73FC2">
        <w:rPr>
          <w:sz w:val="22"/>
          <w:szCs w:val="22"/>
        </w:rPr>
        <w:t xml:space="preserve">, D., &amp; Willmott, H. (2023). </w:t>
      </w:r>
      <w:proofErr w:type="spellStart"/>
      <w:r w:rsidRPr="00A73FC2">
        <w:rPr>
          <w:sz w:val="22"/>
          <w:szCs w:val="22"/>
        </w:rPr>
        <w:t>Leadership</w:t>
      </w:r>
      <w:proofErr w:type="spellEnd"/>
      <w:r w:rsidRPr="00A73FC2">
        <w:rPr>
          <w:sz w:val="22"/>
          <w:szCs w:val="22"/>
        </w:rPr>
        <w:t xml:space="preserve"> at </w:t>
      </w:r>
      <w:proofErr w:type="spellStart"/>
      <w:r w:rsidRPr="00A73FC2">
        <w:rPr>
          <w:sz w:val="22"/>
          <w:szCs w:val="22"/>
        </w:rPr>
        <w:t>Theranos</w:t>
      </w:r>
      <w:proofErr w:type="spellEnd"/>
      <w:r w:rsidRPr="00A73FC2">
        <w:rPr>
          <w:sz w:val="22"/>
          <w:szCs w:val="22"/>
        </w:rPr>
        <w:t xml:space="preserve">. </w:t>
      </w:r>
      <w:proofErr w:type="spellStart"/>
      <w:r w:rsidRPr="00A73FC2">
        <w:rPr>
          <w:sz w:val="22"/>
          <w:szCs w:val="22"/>
        </w:rPr>
        <w:t>Organization</w:t>
      </w:r>
      <w:proofErr w:type="spellEnd"/>
      <w:r w:rsidRPr="00A73FC2">
        <w:rPr>
          <w:sz w:val="22"/>
          <w:szCs w:val="22"/>
        </w:rPr>
        <w:t xml:space="preserve"> </w:t>
      </w:r>
      <w:proofErr w:type="spellStart"/>
      <w:r w:rsidRPr="00A73FC2">
        <w:rPr>
          <w:sz w:val="22"/>
          <w:szCs w:val="22"/>
        </w:rPr>
        <w:t>Studies</w:t>
      </w:r>
      <w:proofErr w:type="spellEnd"/>
      <w:r w:rsidRPr="00A73FC2">
        <w:rPr>
          <w:sz w:val="22"/>
          <w:szCs w:val="22"/>
        </w:rPr>
        <w:t>, 44(11), 1801–1824.</w:t>
      </w:r>
    </w:p>
    <w:p w:rsidRPr="00A73FC2" w:rsidR="00A73FC2" w:rsidP="00A73FC2" w:rsidRDefault="00A73FC2" w14:paraId="5A36FE11" w14:textId="77777777">
      <w:pPr>
        <w:spacing w:after="0"/>
        <w:jc w:val="both"/>
        <w:rPr>
          <w:sz w:val="22"/>
          <w:szCs w:val="22"/>
        </w:rPr>
      </w:pPr>
    </w:p>
    <w:p w:rsidRPr="00A73FC2" w:rsidR="00A73FC2" w:rsidP="00A73FC2" w:rsidRDefault="00A73FC2" w14:paraId="0ABDB4EF" w14:textId="77777777">
      <w:pPr>
        <w:spacing w:after="0"/>
        <w:jc w:val="both"/>
        <w:rPr>
          <w:sz w:val="22"/>
          <w:szCs w:val="22"/>
        </w:rPr>
      </w:pPr>
      <w:r w:rsidRPr="00A73FC2">
        <w:rPr>
          <w:sz w:val="22"/>
          <w:szCs w:val="22"/>
        </w:rPr>
        <w:t>Turner, B. A. (1978). Man-</w:t>
      </w:r>
      <w:proofErr w:type="spellStart"/>
      <w:r w:rsidRPr="00A73FC2">
        <w:rPr>
          <w:sz w:val="22"/>
          <w:szCs w:val="22"/>
        </w:rPr>
        <w:t>made</w:t>
      </w:r>
      <w:proofErr w:type="spellEnd"/>
      <w:r w:rsidRPr="00A73FC2">
        <w:rPr>
          <w:sz w:val="22"/>
          <w:szCs w:val="22"/>
        </w:rPr>
        <w:t xml:space="preserve"> </w:t>
      </w:r>
      <w:proofErr w:type="spellStart"/>
      <w:r w:rsidRPr="00A73FC2">
        <w:rPr>
          <w:sz w:val="22"/>
          <w:szCs w:val="22"/>
        </w:rPr>
        <w:t>disasters</w:t>
      </w:r>
      <w:proofErr w:type="spellEnd"/>
      <w:r w:rsidRPr="00A73FC2">
        <w:rPr>
          <w:sz w:val="22"/>
          <w:szCs w:val="22"/>
        </w:rPr>
        <w:t>. Butterworth.</w:t>
      </w:r>
    </w:p>
    <w:p w:rsidRPr="00A73FC2" w:rsidR="00A73FC2" w:rsidP="00A73FC2" w:rsidRDefault="00A73FC2" w14:paraId="2AD2F7BD" w14:textId="77777777">
      <w:pPr>
        <w:spacing w:after="0"/>
        <w:jc w:val="both"/>
        <w:rPr>
          <w:sz w:val="22"/>
          <w:szCs w:val="22"/>
        </w:rPr>
      </w:pPr>
    </w:p>
    <w:p w:rsidR="00A73FC2" w:rsidP="00A73FC2" w:rsidRDefault="00A73FC2" w14:paraId="7A76C900" w14:textId="77777777">
      <w:pPr>
        <w:spacing w:after="0"/>
        <w:jc w:val="both"/>
        <w:rPr>
          <w:sz w:val="22"/>
          <w:szCs w:val="22"/>
        </w:rPr>
      </w:pPr>
      <w:proofErr w:type="spellStart"/>
      <w:r w:rsidRPr="00A73FC2">
        <w:rPr>
          <w:sz w:val="22"/>
          <w:szCs w:val="22"/>
        </w:rPr>
        <w:t>United</w:t>
      </w:r>
      <w:proofErr w:type="spellEnd"/>
      <w:r w:rsidRPr="00A73FC2">
        <w:rPr>
          <w:sz w:val="22"/>
          <w:szCs w:val="22"/>
        </w:rPr>
        <w:t xml:space="preserve"> Nations </w:t>
      </w:r>
      <w:proofErr w:type="spellStart"/>
      <w:r w:rsidRPr="00A73FC2">
        <w:rPr>
          <w:sz w:val="22"/>
          <w:szCs w:val="22"/>
        </w:rPr>
        <w:t>Scientific</w:t>
      </w:r>
      <w:proofErr w:type="spellEnd"/>
      <w:r w:rsidRPr="00A73FC2">
        <w:rPr>
          <w:sz w:val="22"/>
          <w:szCs w:val="22"/>
        </w:rPr>
        <w:t xml:space="preserve"> </w:t>
      </w:r>
      <w:proofErr w:type="spellStart"/>
      <w:r w:rsidRPr="00A73FC2">
        <w:rPr>
          <w:sz w:val="22"/>
          <w:szCs w:val="22"/>
        </w:rPr>
        <w:t>Committee</w:t>
      </w:r>
      <w:proofErr w:type="spellEnd"/>
      <w:r w:rsidRPr="00A73FC2">
        <w:rPr>
          <w:sz w:val="22"/>
          <w:szCs w:val="22"/>
        </w:rPr>
        <w:t xml:space="preserve"> </w:t>
      </w:r>
      <w:proofErr w:type="spellStart"/>
      <w:r w:rsidRPr="00A73FC2">
        <w:rPr>
          <w:sz w:val="22"/>
          <w:szCs w:val="22"/>
        </w:rPr>
        <w:t>on</w:t>
      </w:r>
      <w:proofErr w:type="spellEnd"/>
      <w:r w:rsidRPr="00A73FC2">
        <w:rPr>
          <w:sz w:val="22"/>
          <w:szCs w:val="22"/>
        </w:rPr>
        <w:t xml:space="preserve"> </w:t>
      </w:r>
      <w:proofErr w:type="spellStart"/>
      <w:r w:rsidRPr="00A73FC2">
        <w:rPr>
          <w:sz w:val="22"/>
          <w:szCs w:val="22"/>
        </w:rPr>
        <w:t>the</w:t>
      </w:r>
      <w:proofErr w:type="spellEnd"/>
      <w:r w:rsidRPr="00A73FC2">
        <w:rPr>
          <w:sz w:val="22"/>
          <w:szCs w:val="22"/>
        </w:rPr>
        <w:t xml:space="preserve"> </w:t>
      </w:r>
      <w:proofErr w:type="spellStart"/>
      <w:r w:rsidRPr="00A73FC2">
        <w:rPr>
          <w:sz w:val="22"/>
          <w:szCs w:val="22"/>
        </w:rPr>
        <w:t>Effects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Atomic</w:t>
      </w:r>
      <w:proofErr w:type="spellEnd"/>
      <w:r w:rsidRPr="00A73FC2">
        <w:rPr>
          <w:sz w:val="22"/>
          <w:szCs w:val="22"/>
        </w:rPr>
        <w:t xml:space="preserve"> </w:t>
      </w:r>
      <w:proofErr w:type="spellStart"/>
      <w:r w:rsidRPr="00A73FC2">
        <w:rPr>
          <w:sz w:val="22"/>
          <w:szCs w:val="22"/>
        </w:rPr>
        <w:t>Radiation</w:t>
      </w:r>
      <w:proofErr w:type="spellEnd"/>
      <w:r w:rsidRPr="00A73FC2">
        <w:rPr>
          <w:sz w:val="22"/>
          <w:szCs w:val="22"/>
        </w:rPr>
        <w:t xml:space="preserve">. (2000). </w:t>
      </w:r>
      <w:proofErr w:type="spellStart"/>
      <w:r w:rsidRPr="00A73FC2">
        <w:rPr>
          <w:sz w:val="22"/>
          <w:szCs w:val="22"/>
        </w:rPr>
        <w:t>Sources</w:t>
      </w:r>
      <w:proofErr w:type="spellEnd"/>
      <w:r w:rsidRPr="00A73FC2">
        <w:rPr>
          <w:sz w:val="22"/>
          <w:szCs w:val="22"/>
        </w:rPr>
        <w:t xml:space="preserve"> and </w:t>
      </w:r>
      <w:proofErr w:type="spellStart"/>
      <w:r w:rsidRPr="00A73FC2">
        <w:rPr>
          <w:sz w:val="22"/>
          <w:szCs w:val="22"/>
        </w:rPr>
        <w:t>effects</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ionizing</w:t>
      </w:r>
      <w:proofErr w:type="spellEnd"/>
      <w:r w:rsidRPr="00A73FC2">
        <w:rPr>
          <w:sz w:val="22"/>
          <w:szCs w:val="22"/>
        </w:rPr>
        <w:t xml:space="preserve"> </w:t>
      </w:r>
      <w:proofErr w:type="spellStart"/>
      <w:r w:rsidRPr="00A73FC2">
        <w:rPr>
          <w:sz w:val="22"/>
          <w:szCs w:val="22"/>
        </w:rPr>
        <w:t>radiation</w:t>
      </w:r>
      <w:proofErr w:type="spellEnd"/>
      <w:r w:rsidRPr="00A73FC2">
        <w:rPr>
          <w:sz w:val="22"/>
          <w:szCs w:val="22"/>
        </w:rPr>
        <w:t>.</w:t>
      </w:r>
    </w:p>
    <w:p w:rsidRPr="00A73FC2" w:rsidR="00A73FC2" w:rsidP="00A73FC2" w:rsidRDefault="00A73FC2" w14:paraId="3A09FFCF" w14:textId="77777777">
      <w:pPr>
        <w:spacing w:after="0"/>
        <w:jc w:val="both"/>
        <w:rPr>
          <w:sz w:val="22"/>
          <w:szCs w:val="22"/>
        </w:rPr>
      </w:pPr>
    </w:p>
    <w:p w:rsidRPr="00A73FC2" w:rsidR="00A73FC2" w:rsidP="00A73FC2" w:rsidRDefault="00A73FC2" w14:paraId="2CA776F3" w14:textId="77777777">
      <w:pPr>
        <w:spacing w:after="0"/>
        <w:jc w:val="both"/>
        <w:rPr>
          <w:sz w:val="22"/>
          <w:szCs w:val="22"/>
        </w:rPr>
      </w:pPr>
      <w:r w:rsidRPr="00A73FC2">
        <w:rPr>
          <w:sz w:val="22"/>
          <w:szCs w:val="22"/>
        </w:rPr>
        <w:t xml:space="preserve">Vaughan, D. (1996). The Challenger </w:t>
      </w:r>
      <w:proofErr w:type="spellStart"/>
      <w:r w:rsidRPr="00A73FC2">
        <w:rPr>
          <w:sz w:val="22"/>
          <w:szCs w:val="22"/>
        </w:rPr>
        <w:t>launch</w:t>
      </w:r>
      <w:proofErr w:type="spellEnd"/>
      <w:r w:rsidRPr="00A73FC2">
        <w:rPr>
          <w:sz w:val="22"/>
          <w:szCs w:val="22"/>
        </w:rPr>
        <w:t xml:space="preserve"> </w:t>
      </w:r>
      <w:proofErr w:type="spellStart"/>
      <w:r w:rsidRPr="00A73FC2">
        <w:rPr>
          <w:sz w:val="22"/>
          <w:szCs w:val="22"/>
        </w:rPr>
        <w:t>decision</w:t>
      </w:r>
      <w:proofErr w:type="spellEnd"/>
      <w:r w:rsidRPr="00A73FC2">
        <w:rPr>
          <w:sz w:val="22"/>
          <w:szCs w:val="22"/>
        </w:rPr>
        <w:t xml:space="preserve">. </w:t>
      </w:r>
      <w:proofErr w:type="spellStart"/>
      <w:r w:rsidRPr="00A73FC2">
        <w:rPr>
          <w:sz w:val="22"/>
          <w:szCs w:val="22"/>
        </w:rPr>
        <w:t>University</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Chicago Press.</w:t>
      </w:r>
    </w:p>
    <w:p w:rsidRPr="00A73FC2" w:rsidR="00A73FC2" w:rsidP="00A73FC2" w:rsidRDefault="00A73FC2" w14:paraId="2F8B1E72" w14:textId="77777777">
      <w:pPr>
        <w:spacing w:after="0"/>
        <w:jc w:val="both"/>
        <w:rPr>
          <w:sz w:val="22"/>
          <w:szCs w:val="22"/>
        </w:rPr>
      </w:pPr>
    </w:p>
    <w:p w:rsidRPr="00A73FC2" w:rsidR="00A73FC2" w:rsidP="00A73FC2" w:rsidRDefault="00A73FC2" w14:paraId="071BD0E9" w14:textId="77777777">
      <w:pPr>
        <w:spacing w:after="0"/>
        <w:jc w:val="both"/>
        <w:rPr>
          <w:sz w:val="22"/>
          <w:szCs w:val="22"/>
        </w:rPr>
      </w:pPr>
      <w:r w:rsidRPr="00A73FC2">
        <w:rPr>
          <w:sz w:val="22"/>
          <w:szCs w:val="22"/>
        </w:rPr>
        <w:t xml:space="preserve">Vaughan, D. (1999). The </w:t>
      </w:r>
      <w:proofErr w:type="spellStart"/>
      <w:r w:rsidRPr="00A73FC2">
        <w:rPr>
          <w:sz w:val="22"/>
          <w:szCs w:val="22"/>
        </w:rPr>
        <w:t>dark</w:t>
      </w:r>
      <w:proofErr w:type="spellEnd"/>
      <w:r w:rsidRPr="00A73FC2">
        <w:rPr>
          <w:sz w:val="22"/>
          <w:szCs w:val="22"/>
        </w:rPr>
        <w:t xml:space="preserve"> </w:t>
      </w:r>
      <w:proofErr w:type="spellStart"/>
      <w:r w:rsidRPr="00A73FC2">
        <w:rPr>
          <w:sz w:val="22"/>
          <w:szCs w:val="22"/>
        </w:rPr>
        <w:t>side</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organizations</w:t>
      </w:r>
      <w:proofErr w:type="spellEnd"/>
      <w:r w:rsidRPr="00A73FC2">
        <w:rPr>
          <w:sz w:val="22"/>
          <w:szCs w:val="22"/>
        </w:rPr>
        <w:t xml:space="preserve">. </w:t>
      </w:r>
      <w:proofErr w:type="spellStart"/>
      <w:r w:rsidRPr="00A73FC2">
        <w:rPr>
          <w:sz w:val="22"/>
          <w:szCs w:val="22"/>
        </w:rPr>
        <w:t>Annual</w:t>
      </w:r>
      <w:proofErr w:type="spellEnd"/>
      <w:r w:rsidRPr="00A73FC2">
        <w:rPr>
          <w:sz w:val="22"/>
          <w:szCs w:val="22"/>
        </w:rPr>
        <w:t xml:space="preserve"> </w:t>
      </w:r>
      <w:proofErr w:type="spellStart"/>
      <w:r w:rsidRPr="00A73FC2">
        <w:rPr>
          <w:sz w:val="22"/>
          <w:szCs w:val="22"/>
        </w:rPr>
        <w:t>Review</w:t>
      </w:r>
      <w:proofErr w:type="spellEnd"/>
      <w:r w:rsidRPr="00A73FC2">
        <w:rPr>
          <w:sz w:val="22"/>
          <w:szCs w:val="22"/>
        </w:rPr>
        <w:t xml:space="preserve"> </w:t>
      </w:r>
      <w:proofErr w:type="spellStart"/>
      <w:r w:rsidRPr="00A73FC2">
        <w:rPr>
          <w:sz w:val="22"/>
          <w:szCs w:val="22"/>
        </w:rPr>
        <w:t>of</w:t>
      </w:r>
      <w:proofErr w:type="spellEnd"/>
      <w:r w:rsidRPr="00A73FC2">
        <w:rPr>
          <w:sz w:val="22"/>
          <w:szCs w:val="22"/>
        </w:rPr>
        <w:t xml:space="preserve"> </w:t>
      </w:r>
      <w:proofErr w:type="spellStart"/>
      <w:r w:rsidRPr="00A73FC2">
        <w:rPr>
          <w:sz w:val="22"/>
          <w:szCs w:val="22"/>
        </w:rPr>
        <w:t>Sociology</w:t>
      </w:r>
      <w:proofErr w:type="spellEnd"/>
      <w:r w:rsidRPr="00A73FC2">
        <w:rPr>
          <w:sz w:val="22"/>
          <w:szCs w:val="22"/>
        </w:rPr>
        <w:t>, 25, 271–305.</w:t>
      </w:r>
    </w:p>
    <w:p w:rsidRPr="00A73FC2" w:rsidR="00A73FC2" w:rsidP="00A73FC2" w:rsidRDefault="00A73FC2" w14:paraId="512A37C9" w14:textId="77777777">
      <w:pPr>
        <w:spacing w:after="0"/>
        <w:jc w:val="both"/>
        <w:rPr>
          <w:sz w:val="22"/>
          <w:szCs w:val="22"/>
        </w:rPr>
      </w:pPr>
    </w:p>
    <w:p w:rsidRPr="00A73FC2" w:rsidR="00A73FC2" w:rsidP="00A73FC2" w:rsidRDefault="00A73FC2" w14:paraId="5BAAFC40" w14:textId="77777777">
      <w:pPr>
        <w:spacing w:after="0"/>
        <w:jc w:val="both"/>
        <w:rPr>
          <w:sz w:val="22"/>
          <w:szCs w:val="22"/>
        </w:rPr>
      </w:pPr>
      <w:r w:rsidRPr="00A73FC2">
        <w:rPr>
          <w:sz w:val="22"/>
          <w:szCs w:val="22"/>
        </w:rPr>
        <w:t xml:space="preserve">Weick, K. E. (1987). </w:t>
      </w:r>
      <w:proofErr w:type="spellStart"/>
      <w:r w:rsidRPr="00A73FC2">
        <w:rPr>
          <w:sz w:val="22"/>
          <w:szCs w:val="22"/>
        </w:rPr>
        <w:t>Organizational</w:t>
      </w:r>
      <w:proofErr w:type="spellEnd"/>
      <w:r w:rsidRPr="00A73FC2">
        <w:rPr>
          <w:sz w:val="22"/>
          <w:szCs w:val="22"/>
        </w:rPr>
        <w:t xml:space="preserve"> culture and </w:t>
      </w:r>
      <w:proofErr w:type="spellStart"/>
      <w:r w:rsidRPr="00A73FC2">
        <w:rPr>
          <w:sz w:val="22"/>
          <w:szCs w:val="22"/>
        </w:rPr>
        <w:t>reliability</w:t>
      </w:r>
      <w:proofErr w:type="spellEnd"/>
      <w:r w:rsidRPr="00A73FC2">
        <w:rPr>
          <w:sz w:val="22"/>
          <w:szCs w:val="22"/>
        </w:rPr>
        <w:t xml:space="preserve">. California Management </w:t>
      </w:r>
      <w:proofErr w:type="spellStart"/>
      <w:r w:rsidRPr="00A73FC2">
        <w:rPr>
          <w:sz w:val="22"/>
          <w:szCs w:val="22"/>
        </w:rPr>
        <w:t>Review</w:t>
      </w:r>
      <w:proofErr w:type="spellEnd"/>
      <w:r w:rsidRPr="00A73FC2">
        <w:rPr>
          <w:sz w:val="22"/>
          <w:szCs w:val="22"/>
        </w:rPr>
        <w:t>, 29(2), 112–127.</w:t>
      </w:r>
    </w:p>
    <w:p w:rsidRPr="00A73FC2" w:rsidR="00A73FC2" w:rsidP="00A73FC2" w:rsidRDefault="00A73FC2" w14:paraId="499C021C" w14:textId="77777777">
      <w:pPr>
        <w:spacing w:after="0"/>
        <w:jc w:val="both"/>
        <w:rPr>
          <w:sz w:val="22"/>
          <w:szCs w:val="22"/>
        </w:rPr>
      </w:pPr>
    </w:p>
    <w:p w:rsidRPr="00A73FC2" w:rsidR="00A73FC2" w:rsidP="00A73FC2" w:rsidRDefault="00A73FC2" w14:paraId="0109C45E" w14:textId="77777777">
      <w:pPr>
        <w:spacing w:after="0"/>
        <w:jc w:val="both"/>
        <w:rPr>
          <w:sz w:val="22"/>
          <w:szCs w:val="22"/>
        </w:rPr>
      </w:pPr>
      <w:r w:rsidRPr="00A73FC2">
        <w:rPr>
          <w:sz w:val="22"/>
          <w:szCs w:val="22"/>
        </w:rPr>
        <w:t xml:space="preserve">Weick, K. E., &amp; Sutcliffe, K. M. (2007). </w:t>
      </w:r>
      <w:proofErr w:type="spellStart"/>
      <w:r w:rsidRPr="00A73FC2">
        <w:rPr>
          <w:sz w:val="22"/>
          <w:szCs w:val="22"/>
        </w:rPr>
        <w:t>Managing</w:t>
      </w:r>
      <w:proofErr w:type="spellEnd"/>
      <w:r w:rsidRPr="00A73FC2">
        <w:rPr>
          <w:sz w:val="22"/>
          <w:szCs w:val="22"/>
        </w:rPr>
        <w:t xml:space="preserve"> </w:t>
      </w:r>
      <w:proofErr w:type="spellStart"/>
      <w:r w:rsidRPr="00A73FC2">
        <w:rPr>
          <w:sz w:val="22"/>
          <w:szCs w:val="22"/>
        </w:rPr>
        <w:t>the</w:t>
      </w:r>
      <w:proofErr w:type="spellEnd"/>
      <w:r w:rsidRPr="00A73FC2">
        <w:rPr>
          <w:sz w:val="22"/>
          <w:szCs w:val="22"/>
        </w:rPr>
        <w:t xml:space="preserve"> </w:t>
      </w:r>
      <w:proofErr w:type="spellStart"/>
      <w:r w:rsidRPr="00A73FC2">
        <w:rPr>
          <w:sz w:val="22"/>
          <w:szCs w:val="22"/>
        </w:rPr>
        <w:t>unexpected</w:t>
      </w:r>
      <w:proofErr w:type="spellEnd"/>
      <w:r w:rsidRPr="00A73FC2">
        <w:rPr>
          <w:sz w:val="22"/>
          <w:szCs w:val="22"/>
        </w:rPr>
        <w:t xml:space="preserve"> (2nd ed.). Jossey-Bass.</w:t>
      </w:r>
    </w:p>
    <w:p w:rsidRPr="00A73FC2" w:rsidR="00A73FC2" w:rsidP="00A73FC2" w:rsidRDefault="00A73FC2" w14:paraId="6EBEF59B" w14:textId="77777777">
      <w:pPr>
        <w:spacing w:after="0"/>
        <w:jc w:val="both"/>
        <w:rPr>
          <w:sz w:val="22"/>
          <w:szCs w:val="22"/>
        </w:rPr>
      </w:pPr>
    </w:p>
    <w:p w:rsidRPr="00A73FC2" w:rsidR="00780204" w:rsidP="00A73FC2" w:rsidRDefault="00A73FC2" w14:paraId="4D601D2E" w14:textId="2EE122A3">
      <w:pPr>
        <w:spacing w:after="0"/>
        <w:jc w:val="both"/>
        <w:rPr>
          <w:sz w:val="22"/>
          <w:szCs w:val="22"/>
        </w:rPr>
      </w:pPr>
      <w:r w:rsidRPr="00A73FC2">
        <w:rPr>
          <w:sz w:val="22"/>
          <w:szCs w:val="22"/>
        </w:rPr>
        <w:t>Yacila Espinoza, M. M., &amp; Luján Johnson, G. L. (2025). Gestión de riesgos en inversión pública. Impulso, 5(9), 170–185. https://doi.org/10.59659/impulso.v.5i9.76</w:t>
      </w:r>
    </w:p>
    <w:sectPr w:rsidRPr="00A73FC2" w:rsidR="00780204" w:rsidSect="00D3406D">
      <w:pgSz w:w="12240" w:h="15840" w:orient="portrait"/>
      <w:pgMar w:top="1418" w:right="170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124D" w:rsidP="002F158D" w:rsidRDefault="007F124D" w14:paraId="3748C530" w14:textId="77777777">
      <w:pPr>
        <w:spacing w:after="0" w:line="240" w:lineRule="auto"/>
      </w:pPr>
      <w:r>
        <w:separator/>
      </w:r>
    </w:p>
  </w:endnote>
  <w:endnote w:type="continuationSeparator" w:id="0">
    <w:p w:rsidR="007F124D" w:rsidP="002F158D" w:rsidRDefault="007F124D" w14:paraId="03EEEB8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lama Semibold">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Flama Book">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124D" w:rsidP="002F158D" w:rsidRDefault="007F124D" w14:paraId="487852B9" w14:textId="77777777">
      <w:pPr>
        <w:spacing w:after="0" w:line="240" w:lineRule="auto"/>
      </w:pPr>
      <w:r>
        <w:separator/>
      </w:r>
    </w:p>
  </w:footnote>
  <w:footnote w:type="continuationSeparator" w:id="0">
    <w:p w:rsidR="007F124D" w:rsidP="002F158D" w:rsidRDefault="007F124D" w14:paraId="69DC6D4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34B1" w:rsidR="002F158D" w:rsidP="002F158D" w:rsidRDefault="002F158D" w14:paraId="5A8638E0" w14:textId="2A2BD4F2">
    <w:pPr>
      <w:pStyle w:val="Encabezado"/>
      <w:jc w:val="right"/>
      <w:rPr>
        <w:i/>
        <w:iCs/>
        <w:sz w:val="16"/>
        <w:szCs w:val="16"/>
      </w:rPr>
    </w:pPr>
    <w:r w:rsidRPr="00C134B1">
      <w:rPr>
        <w:i/>
        <w:iCs/>
        <w:sz w:val="16"/>
        <w:szCs w:val="16"/>
      </w:rPr>
      <w:t>Entregable</w:t>
    </w:r>
    <w:r w:rsidRPr="00C134B1" w:rsidR="00CD6D33">
      <w:rPr>
        <w:i/>
        <w:iCs/>
        <w:sz w:val="16"/>
        <w:szCs w:val="16"/>
      </w:rPr>
      <w:t xml:space="preserve"> </w:t>
    </w:r>
    <w:r w:rsidRPr="00C134B1" w:rsidR="00670296">
      <w:rPr>
        <w:i/>
        <w:iCs/>
        <w:sz w:val="16"/>
        <w:szCs w:val="16"/>
      </w:rPr>
      <w:t>5</w:t>
    </w:r>
    <w:r w:rsidRPr="00C134B1">
      <w:rPr>
        <w:i/>
        <w:iCs/>
        <w:sz w:val="16"/>
        <w:szCs w:val="16"/>
      </w:rPr>
      <w:t>.</w:t>
    </w:r>
    <w:r w:rsidRPr="00C134B1" w:rsidR="00CD6D33">
      <w:rPr>
        <w:i/>
        <w:iCs/>
        <w:sz w:val="16"/>
        <w:szCs w:val="16"/>
      </w:rPr>
      <w:t xml:space="preserve"> </w:t>
    </w:r>
    <w:r w:rsidRPr="00C134B1" w:rsidR="00670296">
      <w:rPr>
        <w:i/>
        <w:iCs/>
        <w:sz w:val="16"/>
        <w:szCs w:val="16"/>
      </w:rPr>
      <w:t>Riesgo</w:t>
    </w:r>
    <w:r w:rsidRPr="00C134B1" w:rsidR="00CD6D33">
      <w:rPr>
        <w:i/>
        <w:iCs/>
        <w:sz w:val="16"/>
        <w:szCs w:val="16"/>
      </w:rPr>
      <w:t xml:space="preserve"> </w:t>
    </w:r>
    <w:r w:rsidRPr="00C134B1" w:rsidR="00670296">
      <w:rPr>
        <w:i/>
        <w:iCs/>
        <w:sz w:val="16"/>
        <w:szCs w:val="16"/>
      </w:rPr>
      <w:t>Organizacional</w:t>
    </w:r>
    <w:r w:rsidRPr="00C134B1">
      <w:rPr>
        <w:i/>
        <w:iCs/>
        <w:sz w:val="16"/>
        <w:szCs w:val="16"/>
      </w:rPr>
      <w:t>.</w:t>
    </w:r>
  </w:p>
  <w:p w:rsidRPr="00C134B1" w:rsidR="002F158D" w:rsidP="002F158D" w:rsidRDefault="002F158D" w14:paraId="4B753FA6" w14:textId="66B90343">
    <w:pPr>
      <w:pStyle w:val="Encabezado"/>
      <w:jc w:val="right"/>
      <w:rPr>
        <w:i/>
        <w:iCs/>
        <w:sz w:val="16"/>
        <w:szCs w:val="16"/>
      </w:rPr>
    </w:pPr>
    <w:r w:rsidRPr="00C134B1">
      <w:rPr>
        <w:i/>
        <w:iCs/>
        <w:sz w:val="16"/>
        <w:szCs w:val="16"/>
      </w:rPr>
      <w:t>Componente</w:t>
    </w:r>
    <w:r w:rsidRPr="00C134B1" w:rsidR="00CD6D33">
      <w:rPr>
        <w:i/>
        <w:iCs/>
        <w:sz w:val="16"/>
        <w:szCs w:val="16"/>
      </w:rPr>
      <w:t xml:space="preserve"> </w:t>
    </w:r>
    <w:r w:rsidRPr="00C134B1">
      <w:rPr>
        <w:i/>
        <w:iCs/>
        <w:sz w:val="16"/>
        <w:szCs w:val="16"/>
      </w:rPr>
      <w:t>metodológico.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34B1" w:rsidR="00C80E24" w:rsidP="00C80E24" w:rsidRDefault="00C80E24" w14:paraId="3673ABBA" w14:textId="77777777">
    <w:pPr>
      <w:pStyle w:val="Encabezado"/>
      <w:jc w:val="right"/>
      <w:rPr>
        <w:i/>
        <w:iCs/>
        <w:sz w:val="16"/>
        <w:szCs w:val="16"/>
      </w:rPr>
    </w:pPr>
    <w:r w:rsidRPr="00C134B1">
      <w:rPr>
        <w:i/>
        <w:iCs/>
        <w:sz w:val="16"/>
        <w:szCs w:val="16"/>
      </w:rPr>
      <w:t>Entregable 5. Riesgo Organizacional.</w:t>
    </w:r>
  </w:p>
  <w:p w:rsidRPr="00C134B1" w:rsidR="00C80E24" w:rsidP="00C80E24" w:rsidRDefault="00C80E24" w14:paraId="0E8FCE13" w14:textId="77777777">
    <w:pPr>
      <w:pStyle w:val="Encabezado"/>
      <w:jc w:val="right"/>
      <w:rPr>
        <w:i/>
        <w:iCs/>
        <w:sz w:val="16"/>
        <w:szCs w:val="16"/>
      </w:rPr>
    </w:pPr>
    <w:r w:rsidRPr="00C134B1">
      <w:rPr>
        <w:i/>
        <w:iCs/>
        <w:sz w:val="16"/>
        <w:szCs w:val="16"/>
      </w:rPr>
      <w:t>Componente metodológico.</w:t>
    </w:r>
  </w:p>
  <w:p w:rsidRPr="00C134B1" w:rsidR="00C80E24" w:rsidRDefault="00C80E24" w14:paraId="440E3CE5" w14:textId="77777777">
    <w:pPr>
      <w:pStyle w:val="Encabezado"/>
      <w:rPr>
        <w:sz w:val="18"/>
        <w:szCs w:val="18"/>
      </w:rPr>
    </w:pPr>
  </w:p>
</w:hdr>
</file>

<file path=word/intelligence2.xml><?xml version="1.0" encoding="utf-8"?>
<int2:intelligence xmlns:int2="http://schemas.microsoft.com/office/intelligence/2020/intelligence" xmlns:oel="http://schemas.microsoft.com/office/2019/extlst">
  <int2:observations>
    <int2:textHash int2:hashCode="AGg6pX86TR8s3/" int2:id="05zWO5im">
      <int2:state int2:value="Rejected" int2:type="spell"/>
    </int2:textHash>
    <int2:textHash int2:hashCode="oFaB4HroKJW7uQ" int2:id="0hJJgTCe">
      <int2:state int2:value="Rejected" int2:type="spell"/>
    </int2:textHash>
    <int2:textHash int2:hashCode="ZTpWQAbj4H4Lxf" int2:id="1IZcZnd6">
      <int2:state int2:value="Rejected" int2:type="spell"/>
    </int2:textHash>
    <int2:textHash int2:hashCode="4KLYm3g8vbffbB" int2:id="22cPEcdb">
      <int2:state int2:value="Rejected" int2:type="spell"/>
    </int2:textHash>
    <int2:textHash int2:hashCode="nmEJtQS0pr3uEQ" int2:id="3VGkGuao">
      <int2:state int2:value="Rejected" int2:type="spell"/>
    </int2:textHash>
    <int2:textHash int2:hashCode="qLblCYy/7hFT90" int2:id="6H3zleVt">
      <int2:state int2:value="Rejected" int2:type="spell"/>
    </int2:textHash>
    <int2:textHash int2:hashCode="GriAEYjGLS3fWb" int2:id="6cqD8TuP">
      <int2:state int2:value="Rejected" int2:type="spell"/>
    </int2:textHash>
    <int2:textHash int2:hashCode="KlzE4Eudh8VdEN" int2:id="A5GTweOW">
      <int2:state int2:value="Rejected" int2:type="spell"/>
    </int2:textHash>
    <int2:textHash int2:hashCode="Rcbx9RojKdFG5j" int2:id="CczpaswY">
      <int2:state int2:value="Rejected" int2:type="spell"/>
    </int2:textHash>
    <int2:textHash int2:hashCode="kKiDTedjJoafPn" int2:id="DApDgZMI">
      <int2:state int2:value="Rejected" int2:type="spell"/>
    </int2:textHash>
    <int2:textHash int2:hashCode="F8n0o37wvhTGtM" int2:id="DDTPmNR2">
      <int2:state int2:value="Rejected" int2:type="spell"/>
    </int2:textHash>
    <int2:textHash int2:hashCode="f7/vB5LJyaEj2h" int2:id="DEeZ6bZ9">
      <int2:state int2:value="Rejected" int2:type="spell"/>
    </int2:textHash>
    <int2:textHash int2:hashCode="RYUNMzDECz70aS" int2:id="INp5sNYk">
      <int2:state int2:value="Rejected" int2:type="spell"/>
    </int2:textHash>
    <int2:textHash int2:hashCode="4TRY1xccpfZzy6" int2:id="KMY9744x">
      <int2:state int2:value="Rejected" int2:type="spell"/>
    </int2:textHash>
    <int2:textHash int2:hashCode="fUUWQixHRWFCwZ" int2:id="Nl4ICLmM">
      <int2:state int2:value="Rejected" int2:type="spell"/>
    </int2:textHash>
    <int2:textHash int2:hashCode="E9A8y557EtF1oD" int2:id="NnLTZxj7">
      <int2:state int2:value="Rejected" int2:type="spell"/>
    </int2:textHash>
    <int2:textHash int2:hashCode="qKMe6DfT0g/Lgi" int2:id="QkqegTfl">
      <int2:state int2:value="Rejected" int2:type="spell"/>
    </int2:textHash>
    <int2:textHash int2:hashCode="SiLf3YRZJk7S3q" int2:id="R1QfXCwf">
      <int2:state int2:value="Rejected" int2:type="spell"/>
    </int2:textHash>
    <int2:textHash int2:hashCode="+qdTImkQK6spXY" int2:id="XP9EXx5x">
      <int2:state int2:value="Rejected" int2:type="spell"/>
    </int2:textHash>
    <int2:textHash int2:hashCode="my96bMQy87m5VS" int2:id="XcVuPFAv">
      <int2:state int2:value="Rejected" int2:type="spell"/>
    </int2:textHash>
    <int2:textHash int2:hashCode="O6pQkJI6twGWYc" int2:id="hyZDFsab">
      <int2:state int2:value="Rejected" int2:type="spell"/>
    </int2:textHash>
    <int2:textHash int2:hashCode="JtVNWW5MfMOA8a" int2:id="iiAQXXQ9">
      <int2:state int2:value="Rejected" int2:type="spell"/>
    </int2:textHash>
    <int2:textHash int2:hashCode="rbZZ4Op4AEyDns" int2:id="n2Jbcmmg">
      <int2:state int2:value="Rejected" int2:type="spell"/>
    </int2:textHash>
    <int2:textHash int2:hashCode="1Ypsv6tMXgetWl" int2:id="nS63Mmn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7DA4"/>
    <w:multiLevelType w:val="hybridMultilevel"/>
    <w:tmpl w:val="FFFFFFFF"/>
    <w:lvl w:ilvl="0" w:tplc="C792B310">
      <w:start w:val="1"/>
      <w:numFmt w:val="bullet"/>
      <w:lvlText w:val=""/>
      <w:lvlJc w:val="left"/>
      <w:pPr>
        <w:ind w:left="720" w:hanging="360"/>
      </w:pPr>
      <w:rPr>
        <w:rFonts w:hint="default" w:ascii="Symbol" w:hAnsi="Symbol"/>
      </w:rPr>
    </w:lvl>
    <w:lvl w:ilvl="1" w:tplc="1FAA1EBE">
      <w:start w:val="1"/>
      <w:numFmt w:val="bullet"/>
      <w:lvlText w:val="o"/>
      <w:lvlJc w:val="left"/>
      <w:pPr>
        <w:ind w:left="1440" w:hanging="360"/>
      </w:pPr>
      <w:rPr>
        <w:rFonts w:hint="default" w:ascii="Courier New" w:hAnsi="Courier New"/>
      </w:rPr>
    </w:lvl>
    <w:lvl w:ilvl="2" w:tplc="C97AC808">
      <w:start w:val="1"/>
      <w:numFmt w:val="bullet"/>
      <w:lvlText w:val=""/>
      <w:lvlJc w:val="left"/>
      <w:pPr>
        <w:ind w:left="2160" w:hanging="360"/>
      </w:pPr>
      <w:rPr>
        <w:rFonts w:hint="default" w:ascii="Wingdings" w:hAnsi="Wingdings"/>
      </w:rPr>
    </w:lvl>
    <w:lvl w:ilvl="3" w:tplc="917CD0E4">
      <w:start w:val="1"/>
      <w:numFmt w:val="bullet"/>
      <w:lvlText w:val=""/>
      <w:lvlJc w:val="left"/>
      <w:pPr>
        <w:ind w:left="2880" w:hanging="360"/>
      </w:pPr>
      <w:rPr>
        <w:rFonts w:hint="default" w:ascii="Symbol" w:hAnsi="Symbol"/>
      </w:rPr>
    </w:lvl>
    <w:lvl w:ilvl="4" w:tplc="33F21FAA">
      <w:start w:val="1"/>
      <w:numFmt w:val="bullet"/>
      <w:lvlText w:val="o"/>
      <w:lvlJc w:val="left"/>
      <w:pPr>
        <w:ind w:left="3600" w:hanging="360"/>
      </w:pPr>
      <w:rPr>
        <w:rFonts w:hint="default" w:ascii="Courier New" w:hAnsi="Courier New"/>
      </w:rPr>
    </w:lvl>
    <w:lvl w:ilvl="5" w:tplc="0C9AD278">
      <w:start w:val="1"/>
      <w:numFmt w:val="bullet"/>
      <w:lvlText w:val=""/>
      <w:lvlJc w:val="left"/>
      <w:pPr>
        <w:ind w:left="4320" w:hanging="360"/>
      </w:pPr>
      <w:rPr>
        <w:rFonts w:hint="default" w:ascii="Wingdings" w:hAnsi="Wingdings"/>
      </w:rPr>
    </w:lvl>
    <w:lvl w:ilvl="6" w:tplc="D870BB3A">
      <w:start w:val="1"/>
      <w:numFmt w:val="bullet"/>
      <w:lvlText w:val=""/>
      <w:lvlJc w:val="left"/>
      <w:pPr>
        <w:ind w:left="5040" w:hanging="360"/>
      </w:pPr>
      <w:rPr>
        <w:rFonts w:hint="default" w:ascii="Symbol" w:hAnsi="Symbol"/>
      </w:rPr>
    </w:lvl>
    <w:lvl w:ilvl="7" w:tplc="38964664">
      <w:start w:val="1"/>
      <w:numFmt w:val="bullet"/>
      <w:lvlText w:val="o"/>
      <w:lvlJc w:val="left"/>
      <w:pPr>
        <w:ind w:left="5760" w:hanging="360"/>
      </w:pPr>
      <w:rPr>
        <w:rFonts w:hint="default" w:ascii="Courier New" w:hAnsi="Courier New"/>
      </w:rPr>
    </w:lvl>
    <w:lvl w:ilvl="8" w:tplc="E26009C6">
      <w:start w:val="1"/>
      <w:numFmt w:val="bullet"/>
      <w:lvlText w:val=""/>
      <w:lvlJc w:val="left"/>
      <w:pPr>
        <w:ind w:left="6480" w:hanging="360"/>
      </w:pPr>
      <w:rPr>
        <w:rFonts w:hint="default" w:ascii="Wingdings" w:hAnsi="Wingdings"/>
      </w:rPr>
    </w:lvl>
  </w:abstractNum>
  <w:abstractNum w:abstractNumId="1" w15:restartNumberingAfterBreak="0">
    <w:nsid w:val="009D34FE"/>
    <w:multiLevelType w:val="multilevel"/>
    <w:tmpl w:val="616E22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1D86CB6"/>
    <w:multiLevelType w:val="hybridMultilevel"/>
    <w:tmpl w:val="FFFFFFFF"/>
    <w:lvl w:ilvl="0" w:tplc="B8204B1E">
      <w:start w:val="1"/>
      <w:numFmt w:val="bullet"/>
      <w:lvlText w:val=""/>
      <w:lvlJc w:val="left"/>
      <w:pPr>
        <w:ind w:left="720" w:hanging="360"/>
      </w:pPr>
      <w:rPr>
        <w:rFonts w:hint="default" w:ascii="Symbol" w:hAnsi="Symbol"/>
      </w:rPr>
    </w:lvl>
    <w:lvl w:ilvl="1" w:tplc="35320C4C">
      <w:start w:val="1"/>
      <w:numFmt w:val="bullet"/>
      <w:lvlText w:val="o"/>
      <w:lvlJc w:val="left"/>
      <w:pPr>
        <w:ind w:left="1440" w:hanging="360"/>
      </w:pPr>
      <w:rPr>
        <w:rFonts w:hint="default" w:ascii="Courier New" w:hAnsi="Courier New"/>
      </w:rPr>
    </w:lvl>
    <w:lvl w:ilvl="2" w:tplc="1F0C67E2">
      <w:start w:val="1"/>
      <w:numFmt w:val="bullet"/>
      <w:lvlText w:val=""/>
      <w:lvlJc w:val="left"/>
      <w:pPr>
        <w:ind w:left="2160" w:hanging="360"/>
      </w:pPr>
      <w:rPr>
        <w:rFonts w:hint="default" w:ascii="Wingdings" w:hAnsi="Wingdings"/>
      </w:rPr>
    </w:lvl>
    <w:lvl w:ilvl="3" w:tplc="DCF673F2">
      <w:start w:val="1"/>
      <w:numFmt w:val="bullet"/>
      <w:lvlText w:val=""/>
      <w:lvlJc w:val="left"/>
      <w:pPr>
        <w:ind w:left="2880" w:hanging="360"/>
      </w:pPr>
      <w:rPr>
        <w:rFonts w:hint="default" w:ascii="Symbol" w:hAnsi="Symbol"/>
      </w:rPr>
    </w:lvl>
    <w:lvl w:ilvl="4" w:tplc="768C5F1A">
      <w:start w:val="1"/>
      <w:numFmt w:val="bullet"/>
      <w:lvlText w:val="o"/>
      <w:lvlJc w:val="left"/>
      <w:pPr>
        <w:ind w:left="3600" w:hanging="360"/>
      </w:pPr>
      <w:rPr>
        <w:rFonts w:hint="default" w:ascii="Courier New" w:hAnsi="Courier New"/>
      </w:rPr>
    </w:lvl>
    <w:lvl w:ilvl="5" w:tplc="018494B4">
      <w:start w:val="1"/>
      <w:numFmt w:val="bullet"/>
      <w:lvlText w:val=""/>
      <w:lvlJc w:val="left"/>
      <w:pPr>
        <w:ind w:left="4320" w:hanging="360"/>
      </w:pPr>
      <w:rPr>
        <w:rFonts w:hint="default" w:ascii="Wingdings" w:hAnsi="Wingdings"/>
      </w:rPr>
    </w:lvl>
    <w:lvl w:ilvl="6" w:tplc="4C46925C">
      <w:start w:val="1"/>
      <w:numFmt w:val="bullet"/>
      <w:lvlText w:val=""/>
      <w:lvlJc w:val="left"/>
      <w:pPr>
        <w:ind w:left="5040" w:hanging="360"/>
      </w:pPr>
      <w:rPr>
        <w:rFonts w:hint="default" w:ascii="Symbol" w:hAnsi="Symbol"/>
      </w:rPr>
    </w:lvl>
    <w:lvl w:ilvl="7" w:tplc="7842FB8E">
      <w:start w:val="1"/>
      <w:numFmt w:val="bullet"/>
      <w:lvlText w:val="o"/>
      <w:lvlJc w:val="left"/>
      <w:pPr>
        <w:ind w:left="5760" w:hanging="360"/>
      </w:pPr>
      <w:rPr>
        <w:rFonts w:hint="default" w:ascii="Courier New" w:hAnsi="Courier New"/>
      </w:rPr>
    </w:lvl>
    <w:lvl w:ilvl="8" w:tplc="12848EAA">
      <w:start w:val="1"/>
      <w:numFmt w:val="bullet"/>
      <w:lvlText w:val=""/>
      <w:lvlJc w:val="left"/>
      <w:pPr>
        <w:ind w:left="6480" w:hanging="360"/>
      </w:pPr>
      <w:rPr>
        <w:rFonts w:hint="default" w:ascii="Wingdings" w:hAnsi="Wingdings"/>
      </w:rPr>
    </w:lvl>
  </w:abstractNum>
  <w:abstractNum w:abstractNumId="3" w15:restartNumberingAfterBreak="0">
    <w:nsid w:val="020954C8"/>
    <w:multiLevelType w:val="hybridMultilevel"/>
    <w:tmpl w:val="7988BFF4"/>
    <w:lvl w:ilvl="0" w:tplc="7896B4C2">
      <w:start w:val="1"/>
      <w:numFmt w:val="bullet"/>
      <w:lvlText w:val=""/>
      <w:lvlJc w:val="left"/>
      <w:pPr>
        <w:ind w:left="720" w:hanging="360"/>
      </w:pPr>
      <w:rPr>
        <w:rFonts w:ascii="Symbol" w:hAnsi="Symbol"/>
      </w:rPr>
    </w:lvl>
    <w:lvl w:ilvl="1" w:tplc="11101194">
      <w:start w:val="1"/>
      <w:numFmt w:val="bullet"/>
      <w:lvlText w:val=""/>
      <w:lvlJc w:val="left"/>
      <w:pPr>
        <w:ind w:left="720" w:hanging="360"/>
      </w:pPr>
      <w:rPr>
        <w:rFonts w:ascii="Symbol" w:hAnsi="Symbol"/>
      </w:rPr>
    </w:lvl>
    <w:lvl w:ilvl="2" w:tplc="D22ED110">
      <w:start w:val="1"/>
      <w:numFmt w:val="bullet"/>
      <w:lvlText w:val=""/>
      <w:lvlJc w:val="left"/>
      <w:pPr>
        <w:ind w:left="720" w:hanging="360"/>
      </w:pPr>
      <w:rPr>
        <w:rFonts w:ascii="Symbol" w:hAnsi="Symbol"/>
      </w:rPr>
    </w:lvl>
    <w:lvl w:ilvl="3" w:tplc="E7683152">
      <w:start w:val="1"/>
      <w:numFmt w:val="bullet"/>
      <w:lvlText w:val=""/>
      <w:lvlJc w:val="left"/>
      <w:pPr>
        <w:ind w:left="720" w:hanging="360"/>
      </w:pPr>
      <w:rPr>
        <w:rFonts w:ascii="Symbol" w:hAnsi="Symbol"/>
      </w:rPr>
    </w:lvl>
    <w:lvl w:ilvl="4" w:tplc="9EFCBD10">
      <w:start w:val="1"/>
      <w:numFmt w:val="bullet"/>
      <w:lvlText w:val=""/>
      <w:lvlJc w:val="left"/>
      <w:pPr>
        <w:ind w:left="720" w:hanging="360"/>
      </w:pPr>
      <w:rPr>
        <w:rFonts w:ascii="Symbol" w:hAnsi="Symbol"/>
      </w:rPr>
    </w:lvl>
    <w:lvl w:ilvl="5" w:tplc="B82E72D6">
      <w:start w:val="1"/>
      <w:numFmt w:val="bullet"/>
      <w:lvlText w:val=""/>
      <w:lvlJc w:val="left"/>
      <w:pPr>
        <w:ind w:left="720" w:hanging="360"/>
      </w:pPr>
      <w:rPr>
        <w:rFonts w:ascii="Symbol" w:hAnsi="Symbol"/>
      </w:rPr>
    </w:lvl>
    <w:lvl w:ilvl="6" w:tplc="F6BAD7A0">
      <w:start w:val="1"/>
      <w:numFmt w:val="bullet"/>
      <w:lvlText w:val=""/>
      <w:lvlJc w:val="left"/>
      <w:pPr>
        <w:ind w:left="720" w:hanging="360"/>
      </w:pPr>
      <w:rPr>
        <w:rFonts w:ascii="Symbol" w:hAnsi="Symbol"/>
      </w:rPr>
    </w:lvl>
    <w:lvl w:ilvl="7" w:tplc="BF56EEC8">
      <w:start w:val="1"/>
      <w:numFmt w:val="bullet"/>
      <w:lvlText w:val=""/>
      <w:lvlJc w:val="left"/>
      <w:pPr>
        <w:ind w:left="720" w:hanging="360"/>
      </w:pPr>
      <w:rPr>
        <w:rFonts w:ascii="Symbol" w:hAnsi="Symbol"/>
      </w:rPr>
    </w:lvl>
    <w:lvl w:ilvl="8" w:tplc="08365BC8">
      <w:start w:val="1"/>
      <w:numFmt w:val="bullet"/>
      <w:lvlText w:val=""/>
      <w:lvlJc w:val="left"/>
      <w:pPr>
        <w:ind w:left="720" w:hanging="360"/>
      </w:pPr>
      <w:rPr>
        <w:rFonts w:ascii="Symbol" w:hAnsi="Symbol"/>
      </w:rPr>
    </w:lvl>
  </w:abstractNum>
  <w:abstractNum w:abstractNumId="4" w15:restartNumberingAfterBreak="0">
    <w:nsid w:val="037E304C"/>
    <w:multiLevelType w:val="multilevel"/>
    <w:tmpl w:val="5C28E2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ED0CE2"/>
    <w:multiLevelType w:val="multilevel"/>
    <w:tmpl w:val="E3B65B1E"/>
    <w:lvl w:ilvl="0">
      <w:start w:val="12"/>
      <w:numFmt w:val="decimal"/>
      <w:lvlText w:val="%1."/>
      <w:lvlJc w:val="left"/>
      <w:pPr>
        <w:ind w:left="500" w:hanging="500"/>
      </w:pPr>
      <w:rPr>
        <w:rFonts w:hint="default"/>
        <w:b/>
        <w:color w:val="auto"/>
        <w:sz w:val="22"/>
      </w:rPr>
    </w:lvl>
    <w:lvl w:ilvl="1">
      <w:start w:val="1"/>
      <w:numFmt w:val="decimal"/>
      <w:lvlText w:val="%1.%2."/>
      <w:lvlJc w:val="left"/>
      <w:pPr>
        <w:ind w:left="2160" w:hanging="720"/>
      </w:pPr>
      <w:rPr>
        <w:rFonts w:hint="default"/>
        <w:b w:val="0"/>
        <w:bCs/>
        <w:color w:val="auto"/>
        <w:sz w:val="22"/>
      </w:rPr>
    </w:lvl>
    <w:lvl w:ilvl="2">
      <w:start w:val="1"/>
      <w:numFmt w:val="decimal"/>
      <w:lvlText w:val="%1.%2.%3."/>
      <w:lvlJc w:val="left"/>
      <w:pPr>
        <w:ind w:left="3600" w:hanging="720"/>
      </w:pPr>
      <w:rPr>
        <w:rFonts w:hint="default"/>
        <w:b/>
        <w:color w:val="auto"/>
        <w:sz w:val="22"/>
      </w:rPr>
    </w:lvl>
    <w:lvl w:ilvl="3">
      <w:start w:val="1"/>
      <w:numFmt w:val="decimal"/>
      <w:lvlText w:val="%1.%2.%3.%4."/>
      <w:lvlJc w:val="left"/>
      <w:pPr>
        <w:ind w:left="5400" w:hanging="1080"/>
      </w:pPr>
      <w:rPr>
        <w:rFonts w:hint="default"/>
        <w:b/>
        <w:color w:val="auto"/>
        <w:sz w:val="22"/>
      </w:rPr>
    </w:lvl>
    <w:lvl w:ilvl="4">
      <w:start w:val="1"/>
      <w:numFmt w:val="decimal"/>
      <w:lvlText w:val="%1.%2.%3.%4.%5."/>
      <w:lvlJc w:val="left"/>
      <w:pPr>
        <w:ind w:left="7200" w:hanging="1440"/>
      </w:pPr>
      <w:rPr>
        <w:rFonts w:hint="default"/>
        <w:b/>
        <w:color w:val="auto"/>
        <w:sz w:val="22"/>
      </w:rPr>
    </w:lvl>
    <w:lvl w:ilvl="5">
      <w:start w:val="1"/>
      <w:numFmt w:val="decimal"/>
      <w:lvlText w:val="%1.%2.%3.%4.%5.%6."/>
      <w:lvlJc w:val="left"/>
      <w:pPr>
        <w:ind w:left="8640" w:hanging="1440"/>
      </w:pPr>
      <w:rPr>
        <w:rFonts w:hint="default"/>
        <w:b/>
        <w:color w:val="auto"/>
        <w:sz w:val="22"/>
      </w:rPr>
    </w:lvl>
    <w:lvl w:ilvl="6">
      <w:start w:val="1"/>
      <w:numFmt w:val="decimal"/>
      <w:lvlText w:val="%1.%2.%3.%4.%5.%6.%7."/>
      <w:lvlJc w:val="left"/>
      <w:pPr>
        <w:ind w:left="10440" w:hanging="1800"/>
      </w:pPr>
      <w:rPr>
        <w:rFonts w:hint="default"/>
        <w:b/>
        <w:color w:val="auto"/>
        <w:sz w:val="22"/>
      </w:rPr>
    </w:lvl>
    <w:lvl w:ilvl="7">
      <w:start w:val="1"/>
      <w:numFmt w:val="decimal"/>
      <w:lvlText w:val="%1.%2.%3.%4.%5.%6.%7.%8."/>
      <w:lvlJc w:val="left"/>
      <w:pPr>
        <w:ind w:left="12240" w:hanging="2160"/>
      </w:pPr>
      <w:rPr>
        <w:rFonts w:hint="default"/>
        <w:b/>
        <w:color w:val="auto"/>
        <w:sz w:val="22"/>
      </w:rPr>
    </w:lvl>
    <w:lvl w:ilvl="8">
      <w:start w:val="1"/>
      <w:numFmt w:val="decimal"/>
      <w:lvlText w:val="%1.%2.%3.%4.%5.%6.%7.%8.%9."/>
      <w:lvlJc w:val="left"/>
      <w:pPr>
        <w:ind w:left="13680" w:hanging="2160"/>
      </w:pPr>
      <w:rPr>
        <w:rFonts w:hint="default"/>
        <w:b/>
        <w:color w:val="auto"/>
        <w:sz w:val="22"/>
      </w:rPr>
    </w:lvl>
  </w:abstractNum>
  <w:abstractNum w:abstractNumId="6" w15:restartNumberingAfterBreak="0">
    <w:nsid w:val="14C25D49"/>
    <w:multiLevelType w:val="hybridMultilevel"/>
    <w:tmpl w:val="FFFFFFFF"/>
    <w:lvl w:ilvl="0" w:tplc="D1B24920">
      <w:start w:val="1"/>
      <w:numFmt w:val="decimal"/>
      <w:lvlText w:val="%1."/>
      <w:lvlJc w:val="left"/>
      <w:pPr>
        <w:ind w:left="720" w:hanging="360"/>
      </w:pPr>
    </w:lvl>
    <w:lvl w:ilvl="1" w:tplc="CAD4A77E">
      <w:start w:val="1"/>
      <w:numFmt w:val="lowerLetter"/>
      <w:lvlText w:val="%2."/>
      <w:lvlJc w:val="left"/>
      <w:pPr>
        <w:ind w:left="1440" w:hanging="360"/>
      </w:pPr>
    </w:lvl>
    <w:lvl w:ilvl="2" w:tplc="3AD2F542">
      <w:start w:val="1"/>
      <w:numFmt w:val="lowerRoman"/>
      <w:lvlText w:val="%3."/>
      <w:lvlJc w:val="right"/>
      <w:pPr>
        <w:ind w:left="2160" w:hanging="180"/>
      </w:pPr>
    </w:lvl>
    <w:lvl w:ilvl="3" w:tplc="6EE25092">
      <w:start w:val="1"/>
      <w:numFmt w:val="decimal"/>
      <w:lvlText w:val="%4."/>
      <w:lvlJc w:val="left"/>
      <w:pPr>
        <w:ind w:left="2880" w:hanging="360"/>
      </w:pPr>
    </w:lvl>
    <w:lvl w:ilvl="4" w:tplc="6C789514">
      <w:start w:val="1"/>
      <w:numFmt w:val="lowerLetter"/>
      <w:lvlText w:val="%5."/>
      <w:lvlJc w:val="left"/>
      <w:pPr>
        <w:ind w:left="3600" w:hanging="360"/>
      </w:pPr>
    </w:lvl>
    <w:lvl w:ilvl="5" w:tplc="BF6C026C">
      <w:start w:val="1"/>
      <w:numFmt w:val="lowerRoman"/>
      <w:lvlText w:val="%6."/>
      <w:lvlJc w:val="right"/>
      <w:pPr>
        <w:ind w:left="4320" w:hanging="180"/>
      </w:pPr>
    </w:lvl>
    <w:lvl w:ilvl="6" w:tplc="56BCCDC4">
      <w:start w:val="1"/>
      <w:numFmt w:val="decimal"/>
      <w:lvlText w:val="%7."/>
      <w:lvlJc w:val="left"/>
      <w:pPr>
        <w:ind w:left="5040" w:hanging="360"/>
      </w:pPr>
    </w:lvl>
    <w:lvl w:ilvl="7" w:tplc="692C1A20">
      <w:start w:val="1"/>
      <w:numFmt w:val="lowerLetter"/>
      <w:lvlText w:val="%8."/>
      <w:lvlJc w:val="left"/>
      <w:pPr>
        <w:ind w:left="5760" w:hanging="360"/>
      </w:pPr>
    </w:lvl>
    <w:lvl w:ilvl="8" w:tplc="90244EE8">
      <w:start w:val="1"/>
      <w:numFmt w:val="lowerRoman"/>
      <w:lvlText w:val="%9."/>
      <w:lvlJc w:val="right"/>
      <w:pPr>
        <w:ind w:left="6480" w:hanging="180"/>
      </w:pPr>
    </w:lvl>
  </w:abstractNum>
  <w:abstractNum w:abstractNumId="7" w15:restartNumberingAfterBreak="0">
    <w:nsid w:val="16520111"/>
    <w:multiLevelType w:val="hybridMultilevel"/>
    <w:tmpl w:val="15302170"/>
    <w:lvl w:ilvl="0" w:tplc="4CC0C510">
      <w:start w:val="1"/>
      <w:numFmt w:val="decimal"/>
      <w:lvlText w:val="%1."/>
      <w:lvlJc w:val="left"/>
      <w:pPr>
        <w:ind w:left="720" w:hanging="360"/>
      </w:pPr>
    </w:lvl>
    <w:lvl w:ilvl="1" w:tplc="A358E420">
      <w:start w:val="1"/>
      <w:numFmt w:val="decimal"/>
      <w:lvlText w:val="%2."/>
      <w:lvlJc w:val="left"/>
      <w:pPr>
        <w:ind w:left="720" w:hanging="360"/>
      </w:pPr>
    </w:lvl>
    <w:lvl w:ilvl="2" w:tplc="3C6EA46C">
      <w:start w:val="1"/>
      <w:numFmt w:val="decimal"/>
      <w:lvlText w:val="%3."/>
      <w:lvlJc w:val="left"/>
      <w:pPr>
        <w:ind w:left="720" w:hanging="360"/>
      </w:pPr>
    </w:lvl>
    <w:lvl w:ilvl="3" w:tplc="4B1851D6">
      <w:start w:val="1"/>
      <w:numFmt w:val="decimal"/>
      <w:lvlText w:val="%4."/>
      <w:lvlJc w:val="left"/>
      <w:pPr>
        <w:ind w:left="720" w:hanging="360"/>
      </w:pPr>
    </w:lvl>
    <w:lvl w:ilvl="4" w:tplc="FB2C4AFE">
      <w:start w:val="1"/>
      <w:numFmt w:val="decimal"/>
      <w:lvlText w:val="%5."/>
      <w:lvlJc w:val="left"/>
      <w:pPr>
        <w:ind w:left="720" w:hanging="360"/>
      </w:pPr>
    </w:lvl>
    <w:lvl w:ilvl="5" w:tplc="5484E18C">
      <w:start w:val="1"/>
      <w:numFmt w:val="decimal"/>
      <w:lvlText w:val="%6."/>
      <w:lvlJc w:val="left"/>
      <w:pPr>
        <w:ind w:left="720" w:hanging="360"/>
      </w:pPr>
    </w:lvl>
    <w:lvl w:ilvl="6" w:tplc="54D85872">
      <w:start w:val="1"/>
      <w:numFmt w:val="decimal"/>
      <w:lvlText w:val="%7."/>
      <w:lvlJc w:val="left"/>
      <w:pPr>
        <w:ind w:left="720" w:hanging="360"/>
      </w:pPr>
    </w:lvl>
    <w:lvl w:ilvl="7" w:tplc="9398B6B0">
      <w:start w:val="1"/>
      <w:numFmt w:val="decimal"/>
      <w:lvlText w:val="%8."/>
      <w:lvlJc w:val="left"/>
      <w:pPr>
        <w:ind w:left="720" w:hanging="360"/>
      </w:pPr>
    </w:lvl>
    <w:lvl w:ilvl="8" w:tplc="FB9AF296">
      <w:start w:val="1"/>
      <w:numFmt w:val="decimal"/>
      <w:lvlText w:val="%9."/>
      <w:lvlJc w:val="left"/>
      <w:pPr>
        <w:ind w:left="720" w:hanging="360"/>
      </w:pPr>
    </w:lvl>
  </w:abstractNum>
  <w:abstractNum w:abstractNumId="8" w15:restartNumberingAfterBreak="0">
    <w:nsid w:val="16B8C88E"/>
    <w:multiLevelType w:val="hybridMultilevel"/>
    <w:tmpl w:val="8B12DB30"/>
    <w:lvl w:ilvl="0" w:tplc="6BD673D2">
      <w:start w:val="1"/>
      <w:numFmt w:val="bullet"/>
      <w:lvlText w:val="·"/>
      <w:lvlJc w:val="left"/>
      <w:pPr>
        <w:ind w:left="720" w:hanging="360"/>
      </w:pPr>
      <w:rPr>
        <w:rFonts w:hint="default" w:ascii="Symbol" w:hAnsi="Symbol"/>
      </w:rPr>
    </w:lvl>
    <w:lvl w:ilvl="1" w:tplc="BB702B90">
      <w:start w:val="1"/>
      <w:numFmt w:val="bullet"/>
      <w:lvlText w:val="o"/>
      <w:lvlJc w:val="left"/>
      <w:pPr>
        <w:ind w:left="1440" w:hanging="360"/>
      </w:pPr>
      <w:rPr>
        <w:rFonts w:hint="default" w:ascii="Courier New" w:hAnsi="Courier New"/>
      </w:rPr>
    </w:lvl>
    <w:lvl w:ilvl="2" w:tplc="95764D14">
      <w:start w:val="1"/>
      <w:numFmt w:val="bullet"/>
      <w:lvlText w:val=""/>
      <w:lvlJc w:val="left"/>
      <w:pPr>
        <w:ind w:left="2160" w:hanging="360"/>
      </w:pPr>
      <w:rPr>
        <w:rFonts w:hint="default" w:ascii="Wingdings" w:hAnsi="Wingdings"/>
      </w:rPr>
    </w:lvl>
    <w:lvl w:ilvl="3" w:tplc="8C760CAC">
      <w:start w:val="1"/>
      <w:numFmt w:val="bullet"/>
      <w:lvlText w:val=""/>
      <w:lvlJc w:val="left"/>
      <w:pPr>
        <w:ind w:left="2880" w:hanging="360"/>
      </w:pPr>
      <w:rPr>
        <w:rFonts w:hint="default" w:ascii="Symbol" w:hAnsi="Symbol"/>
      </w:rPr>
    </w:lvl>
    <w:lvl w:ilvl="4" w:tplc="63E241FC">
      <w:start w:val="1"/>
      <w:numFmt w:val="bullet"/>
      <w:lvlText w:val="o"/>
      <w:lvlJc w:val="left"/>
      <w:pPr>
        <w:ind w:left="3600" w:hanging="360"/>
      </w:pPr>
      <w:rPr>
        <w:rFonts w:hint="default" w:ascii="Courier New" w:hAnsi="Courier New"/>
      </w:rPr>
    </w:lvl>
    <w:lvl w:ilvl="5" w:tplc="BA6A013A">
      <w:start w:val="1"/>
      <w:numFmt w:val="bullet"/>
      <w:lvlText w:val=""/>
      <w:lvlJc w:val="left"/>
      <w:pPr>
        <w:ind w:left="4320" w:hanging="360"/>
      </w:pPr>
      <w:rPr>
        <w:rFonts w:hint="default" w:ascii="Wingdings" w:hAnsi="Wingdings"/>
      </w:rPr>
    </w:lvl>
    <w:lvl w:ilvl="6" w:tplc="788C1B64">
      <w:start w:val="1"/>
      <w:numFmt w:val="bullet"/>
      <w:lvlText w:val=""/>
      <w:lvlJc w:val="left"/>
      <w:pPr>
        <w:ind w:left="5040" w:hanging="360"/>
      </w:pPr>
      <w:rPr>
        <w:rFonts w:hint="default" w:ascii="Symbol" w:hAnsi="Symbol"/>
      </w:rPr>
    </w:lvl>
    <w:lvl w:ilvl="7" w:tplc="52D29340">
      <w:start w:val="1"/>
      <w:numFmt w:val="bullet"/>
      <w:lvlText w:val="o"/>
      <w:lvlJc w:val="left"/>
      <w:pPr>
        <w:ind w:left="5760" w:hanging="360"/>
      </w:pPr>
      <w:rPr>
        <w:rFonts w:hint="default" w:ascii="Courier New" w:hAnsi="Courier New"/>
      </w:rPr>
    </w:lvl>
    <w:lvl w:ilvl="8" w:tplc="61906738">
      <w:start w:val="1"/>
      <w:numFmt w:val="bullet"/>
      <w:lvlText w:val=""/>
      <w:lvlJc w:val="left"/>
      <w:pPr>
        <w:ind w:left="6480" w:hanging="360"/>
      </w:pPr>
      <w:rPr>
        <w:rFonts w:hint="default" w:ascii="Wingdings" w:hAnsi="Wingdings"/>
      </w:rPr>
    </w:lvl>
  </w:abstractNum>
  <w:abstractNum w:abstractNumId="9" w15:restartNumberingAfterBreak="0">
    <w:nsid w:val="180A5D00"/>
    <w:multiLevelType w:val="hybridMultilevel"/>
    <w:tmpl w:val="F7E259C2"/>
    <w:lvl w:ilvl="0" w:tplc="240A000F">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5348C0"/>
    <w:multiLevelType w:val="hybridMultilevel"/>
    <w:tmpl w:val="6F768ADA"/>
    <w:lvl w:ilvl="0" w:tplc="5134CFE0">
      <w:start w:val="1"/>
      <w:numFmt w:val="decimal"/>
      <w:lvlText w:val="%1."/>
      <w:lvlJc w:val="left"/>
      <w:pPr>
        <w:ind w:left="720" w:hanging="360"/>
      </w:pPr>
    </w:lvl>
    <w:lvl w:ilvl="1" w:tplc="4056700C">
      <w:start w:val="1"/>
      <w:numFmt w:val="decimal"/>
      <w:lvlText w:val="%2."/>
      <w:lvlJc w:val="left"/>
      <w:pPr>
        <w:ind w:left="720" w:hanging="360"/>
      </w:pPr>
    </w:lvl>
    <w:lvl w:ilvl="2" w:tplc="08EA761E">
      <w:start w:val="1"/>
      <w:numFmt w:val="decimal"/>
      <w:lvlText w:val="%3."/>
      <w:lvlJc w:val="left"/>
      <w:pPr>
        <w:ind w:left="720" w:hanging="360"/>
      </w:pPr>
    </w:lvl>
    <w:lvl w:ilvl="3" w:tplc="CE8C7656">
      <w:start w:val="1"/>
      <w:numFmt w:val="decimal"/>
      <w:lvlText w:val="%4."/>
      <w:lvlJc w:val="left"/>
      <w:pPr>
        <w:ind w:left="720" w:hanging="360"/>
      </w:pPr>
    </w:lvl>
    <w:lvl w:ilvl="4" w:tplc="3FECABD6">
      <w:start w:val="1"/>
      <w:numFmt w:val="decimal"/>
      <w:lvlText w:val="%5."/>
      <w:lvlJc w:val="left"/>
      <w:pPr>
        <w:ind w:left="720" w:hanging="360"/>
      </w:pPr>
    </w:lvl>
    <w:lvl w:ilvl="5" w:tplc="B7523FF4">
      <w:start w:val="1"/>
      <w:numFmt w:val="decimal"/>
      <w:lvlText w:val="%6."/>
      <w:lvlJc w:val="left"/>
      <w:pPr>
        <w:ind w:left="720" w:hanging="360"/>
      </w:pPr>
    </w:lvl>
    <w:lvl w:ilvl="6" w:tplc="CCC2B352">
      <w:start w:val="1"/>
      <w:numFmt w:val="decimal"/>
      <w:lvlText w:val="%7."/>
      <w:lvlJc w:val="left"/>
      <w:pPr>
        <w:ind w:left="720" w:hanging="360"/>
      </w:pPr>
    </w:lvl>
    <w:lvl w:ilvl="7" w:tplc="FE36FCF4">
      <w:start w:val="1"/>
      <w:numFmt w:val="decimal"/>
      <w:lvlText w:val="%8."/>
      <w:lvlJc w:val="left"/>
      <w:pPr>
        <w:ind w:left="720" w:hanging="360"/>
      </w:pPr>
    </w:lvl>
    <w:lvl w:ilvl="8" w:tplc="C55AAD82">
      <w:start w:val="1"/>
      <w:numFmt w:val="decimal"/>
      <w:lvlText w:val="%9."/>
      <w:lvlJc w:val="left"/>
      <w:pPr>
        <w:ind w:left="720" w:hanging="360"/>
      </w:pPr>
    </w:lvl>
  </w:abstractNum>
  <w:abstractNum w:abstractNumId="11" w15:restartNumberingAfterBreak="0">
    <w:nsid w:val="252D6045"/>
    <w:multiLevelType w:val="hybridMultilevel"/>
    <w:tmpl w:val="0108DD36"/>
    <w:lvl w:ilvl="0" w:tplc="076036F6">
      <w:start w:val="1"/>
      <w:numFmt w:val="decimal"/>
      <w:lvlText w:val="%1."/>
      <w:lvlJc w:val="left"/>
      <w:pPr>
        <w:ind w:left="720" w:hanging="360"/>
      </w:pPr>
    </w:lvl>
    <w:lvl w:ilvl="1" w:tplc="F4DE9F7A">
      <w:start w:val="1"/>
      <w:numFmt w:val="decimal"/>
      <w:lvlText w:val="%2."/>
      <w:lvlJc w:val="left"/>
      <w:pPr>
        <w:ind w:left="720" w:hanging="360"/>
      </w:pPr>
    </w:lvl>
    <w:lvl w:ilvl="2" w:tplc="88CC929C">
      <w:start w:val="1"/>
      <w:numFmt w:val="decimal"/>
      <w:lvlText w:val="%3."/>
      <w:lvlJc w:val="left"/>
      <w:pPr>
        <w:ind w:left="720" w:hanging="360"/>
      </w:pPr>
    </w:lvl>
    <w:lvl w:ilvl="3" w:tplc="D6F04050">
      <w:start w:val="1"/>
      <w:numFmt w:val="decimal"/>
      <w:lvlText w:val="%4."/>
      <w:lvlJc w:val="left"/>
      <w:pPr>
        <w:ind w:left="720" w:hanging="360"/>
      </w:pPr>
    </w:lvl>
    <w:lvl w:ilvl="4" w:tplc="C9705392">
      <w:start w:val="1"/>
      <w:numFmt w:val="decimal"/>
      <w:lvlText w:val="%5."/>
      <w:lvlJc w:val="left"/>
      <w:pPr>
        <w:ind w:left="720" w:hanging="360"/>
      </w:pPr>
    </w:lvl>
    <w:lvl w:ilvl="5" w:tplc="96802692">
      <w:start w:val="1"/>
      <w:numFmt w:val="decimal"/>
      <w:lvlText w:val="%6."/>
      <w:lvlJc w:val="left"/>
      <w:pPr>
        <w:ind w:left="720" w:hanging="360"/>
      </w:pPr>
    </w:lvl>
    <w:lvl w:ilvl="6" w:tplc="FE34CE5E">
      <w:start w:val="1"/>
      <w:numFmt w:val="decimal"/>
      <w:lvlText w:val="%7."/>
      <w:lvlJc w:val="left"/>
      <w:pPr>
        <w:ind w:left="720" w:hanging="360"/>
      </w:pPr>
    </w:lvl>
    <w:lvl w:ilvl="7" w:tplc="9B082920">
      <w:start w:val="1"/>
      <w:numFmt w:val="decimal"/>
      <w:lvlText w:val="%8."/>
      <w:lvlJc w:val="left"/>
      <w:pPr>
        <w:ind w:left="720" w:hanging="360"/>
      </w:pPr>
    </w:lvl>
    <w:lvl w:ilvl="8" w:tplc="1AF0E292">
      <w:start w:val="1"/>
      <w:numFmt w:val="decimal"/>
      <w:lvlText w:val="%9."/>
      <w:lvlJc w:val="left"/>
      <w:pPr>
        <w:ind w:left="720" w:hanging="360"/>
      </w:pPr>
    </w:lvl>
  </w:abstractNum>
  <w:abstractNum w:abstractNumId="12" w15:restartNumberingAfterBreak="0">
    <w:nsid w:val="2D5C5AB6"/>
    <w:multiLevelType w:val="hybridMultilevel"/>
    <w:tmpl w:val="703C3A3E"/>
    <w:lvl w:ilvl="0" w:tplc="ADEA83BC">
      <w:start w:val="1"/>
      <w:numFmt w:val="bullet"/>
      <w:lvlText w:val=""/>
      <w:lvlJc w:val="left"/>
      <w:pPr>
        <w:ind w:left="720" w:hanging="360"/>
      </w:pPr>
      <w:rPr>
        <w:rFonts w:ascii="Symbol" w:hAnsi="Symbol"/>
      </w:rPr>
    </w:lvl>
    <w:lvl w:ilvl="1" w:tplc="4D68F16E">
      <w:start w:val="1"/>
      <w:numFmt w:val="bullet"/>
      <w:lvlText w:val=""/>
      <w:lvlJc w:val="left"/>
      <w:pPr>
        <w:ind w:left="720" w:hanging="360"/>
      </w:pPr>
      <w:rPr>
        <w:rFonts w:ascii="Symbol" w:hAnsi="Symbol"/>
      </w:rPr>
    </w:lvl>
    <w:lvl w:ilvl="2" w:tplc="A73E8362">
      <w:start w:val="1"/>
      <w:numFmt w:val="bullet"/>
      <w:lvlText w:val=""/>
      <w:lvlJc w:val="left"/>
      <w:pPr>
        <w:ind w:left="720" w:hanging="360"/>
      </w:pPr>
      <w:rPr>
        <w:rFonts w:ascii="Symbol" w:hAnsi="Symbol"/>
      </w:rPr>
    </w:lvl>
    <w:lvl w:ilvl="3" w:tplc="AC026D8C">
      <w:start w:val="1"/>
      <w:numFmt w:val="bullet"/>
      <w:lvlText w:val=""/>
      <w:lvlJc w:val="left"/>
      <w:pPr>
        <w:ind w:left="720" w:hanging="360"/>
      </w:pPr>
      <w:rPr>
        <w:rFonts w:ascii="Symbol" w:hAnsi="Symbol"/>
      </w:rPr>
    </w:lvl>
    <w:lvl w:ilvl="4" w:tplc="0AD4A4A2">
      <w:start w:val="1"/>
      <w:numFmt w:val="bullet"/>
      <w:lvlText w:val=""/>
      <w:lvlJc w:val="left"/>
      <w:pPr>
        <w:ind w:left="720" w:hanging="360"/>
      </w:pPr>
      <w:rPr>
        <w:rFonts w:ascii="Symbol" w:hAnsi="Symbol"/>
      </w:rPr>
    </w:lvl>
    <w:lvl w:ilvl="5" w:tplc="546E9126">
      <w:start w:val="1"/>
      <w:numFmt w:val="bullet"/>
      <w:lvlText w:val=""/>
      <w:lvlJc w:val="left"/>
      <w:pPr>
        <w:ind w:left="720" w:hanging="360"/>
      </w:pPr>
      <w:rPr>
        <w:rFonts w:ascii="Symbol" w:hAnsi="Symbol"/>
      </w:rPr>
    </w:lvl>
    <w:lvl w:ilvl="6" w:tplc="F61E7678">
      <w:start w:val="1"/>
      <w:numFmt w:val="bullet"/>
      <w:lvlText w:val=""/>
      <w:lvlJc w:val="left"/>
      <w:pPr>
        <w:ind w:left="720" w:hanging="360"/>
      </w:pPr>
      <w:rPr>
        <w:rFonts w:ascii="Symbol" w:hAnsi="Symbol"/>
      </w:rPr>
    </w:lvl>
    <w:lvl w:ilvl="7" w:tplc="44AAB458">
      <w:start w:val="1"/>
      <w:numFmt w:val="bullet"/>
      <w:lvlText w:val=""/>
      <w:lvlJc w:val="left"/>
      <w:pPr>
        <w:ind w:left="720" w:hanging="360"/>
      </w:pPr>
      <w:rPr>
        <w:rFonts w:ascii="Symbol" w:hAnsi="Symbol"/>
      </w:rPr>
    </w:lvl>
    <w:lvl w:ilvl="8" w:tplc="1AEE896C">
      <w:start w:val="1"/>
      <w:numFmt w:val="bullet"/>
      <w:lvlText w:val=""/>
      <w:lvlJc w:val="left"/>
      <w:pPr>
        <w:ind w:left="720" w:hanging="360"/>
      </w:pPr>
      <w:rPr>
        <w:rFonts w:ascii="Symbol" w:hAnsi="Symbol"/>
      </w:rPr>
    </w:lvl>
  </w:abstractNum>
  <w:abstractNum w:abstractNumId="13" w15:restartNumberingAfterBreak="0">
    <w:nsid w:val="308AF7FD"/>
    <w:multiLevelType w:val="hybridMultilevel"/>
    <w:tmpl w:val="FFFFFFFF"/>
    <w:lvl w:ilvl="0" w:tplc="164E2900">
      <w:start w:val="1"/>
      <w:numFmt w:val="decimal"/>
      <w:lvlText w:val="%1."/>
      <w:lvlJc w:val="left"/>
      <w:pPr>
        <w:ind w:left="720" w:hanging="360"/>
      </w:pPr>
    </w:lvl>
    <w:lvl w:ilvl="1" w:tplc="5A5CD656">
      <w:start w:val="1"/>
      <w:numFmt w:val="lowerLetter"/>
      <w:lvlText w:val="%2."/>
      <w:lvlJc w:val="left"/>
      <w:pPr>
        <w:ind w:left="1440" w:hanging="360"/>
      </w:pPr>
    </w:lvl>
    <w:lvl w:ilvl="2" w:tplc="2F9CFF18">
      <w:start w:val="1"/>
      <w:numFmt w:val="lowerRoman"/>
      <w:lvlText w:val="%3."/>
      <w:lvlJc w:val="right"/>
      <w:pPr>
        <w:ind w:left="2160" w:hanging="180"/>
      </w:pPr>
    </w:lvl>
    <w:lvl w:ilvl="3" w:tplc="037ACE4A">
      <w:start w:val="1"/>
      <w:numFmt w:val="decimal"/>
      <w:lvlText w:val="%4."/>
      <w:lvlJc w:val="left"/>
      <w:pPr>
        <w:ind w:left="2880" w:hanging="360"/>
      </w:pPr>
    </w:lvl>
    <w:lvl w:ilvl="4" w:tplc="963E4B5A">
      <w:start w:val="1"/>
      <w:numFmt w:val="lowerLetter"/>
      <w:lvlText w:val="%5."/>
      <w:lvlJc w:val="left"/>
      <w:pPr>
        <w:ind w:left="3600" w:hanging="360"/>
      </w:pPr>
    </w:lvl>
    <w:lvl w:ilvl="5" w:tplc="179AD5F0">
      <w:start w:val="1"/>
      <w:numFmt w:val="lowerRoman"/>
      <w:lvlText w:val="%6."/>
      <w:lvlJc w:val="right"/>
      <w:pPr>
        <w:ind w:left="4320" w:hanging="180"/>
      </w:pPr>
    </w:lvl>
    <w:lvl w:ilvl="6" w:tplc="FB580898">
      <w:start w:val="1"/>
      <w:numFmt w:val="decimal"/>
      <w:lvlText w:val="%7."/>
      <w:lvlJc w:val="left"/>
      <w:pPr>
        <w:ind w:left="5040" w:hanging="360"/>
      </w:pPr>
    </w:lvl>
    <w:lvl w:ilvl="7" w:tplc="13062CE2">
      <w:start w:val="1"/>
      <w:numFmt w:val="lowerLetter"/>
      <w:lvlText w:val="%8."/>
      <w:lvlJc w:val="left"/>
      <w:pPr>
        <w:ind w:left="5760" w:hanging="360"/>
      </w:pPr>
    </w:lvl>
    <w:lvl w:ilvl="8" w:tplc="2B64F408">
      <w:start w:val="1"/>
      <w:numFmt w:val="lowerRoman"/>
      <w:lvlText w:val="%9."/>
      <w:lvlJc w:val="right"/>
      <w:pPr>
        <w:ind w:left="6480" w:hanging="180"/>
      </w:pPr>
    </w:lvl>
  </w:abstractNum>
  <w:abstractNum w:abstractNumId="14" w15:restartNumberingAfterBreak="0">
    <w:nsid w:val="35637090"/>
    <w:multiLevelType w:val="hybridMultilevel"/>
    <w:tmpl w:val="FFFFFFFF"/>
    <w:lvl w:ilvl="0" w:tplc="CB643C64">
      <w:start w:val="1"/>
      <w:numFmt w:val="decimal"/>
      <w:lvlText w:val="%1."/>
      <w:lvlJc w:val="left"/>
      <w:pPr>
        <w:ind w:left="720" w:hanging="360"/>
      </w:pPr>
    </w:lvl>
    <w:lvl w:ilvl="1" w:tplc="563CCEEA">
      <w:start w:val="1"/>
      <w:numFmt w:val="lowerLetter"/>
      <w:lvlText w:val="%2."/>
      <w:lvlJc w:val="left"/>
      <w:pPr>
        <w:ind w:left="1440" w:hanging="360"/>
      </w:pPr>
    </w:lvl>
    <w:lvl w:ilvl="2" w:tplc="77F0BE28">
      <w:start w:val="1"/>
      <w:numFmt w:val="lowerRoman"/>
      <w:lvlText w:val="%3."/>
      <w:lvlJc w:val="right"/>
      <w:pPr>
        <w:ind w:left="2160" w:hanging="180"/>
      </w:pPr>
    </w:lvl>
    <w:lvl w:ilvl="3" w:tplc="91AC08BC">
      <w:start w:val="1"/>
      <w:numFmt w:val="decimal"/>
      <w:lvlText w:val="%4."/>
      <w:lvlJc w:val="left"/>
      <w:pPr>
        <w:ind w:left="2880" w:hanging="360"/>
      </w:pPr>
    </w:lvl>
    <w:lvl w:ilvl="4" w:tplc="8682B4C2">
      <w:start w:val="1"/>
      <w:numFmt w:val="lowerLetter"/>
      <w:lvlText w:val="%5."/>
      <w:lvlJc w:val="left"/>
      <w:pPr>
        <w:ind w:left="3600" w:hanging="360"/>
      </w:pPr>
    </w:lvl>
    <w:lvl w:ilvl="5" w:tplc="0D1895D8">
      <w:start w:val="1"/>
      <w:numFmt w:val="lowerRoman"/>
      <w:lvlText w:val="%6."/>
      <w:lvlJc w:val="right"/>
      <w:pPr>
        <w:ind w:left="4320" w:hanging="180"/>
      </w:pPr>
    </w:lvl>
    <w:lvl w:ilvl="6" w:tplc="26D2882C">
      <w:start w:val="1"/>
      <w:numFmt w:val="decimal"/>
      <w:lvlText w:val="%7."/>
      <w:lvlJc w:val="left"/>
      <w:pPr>
        <w:ind w:left="5040" w:hanging="360"/>
      </w:pPr>
    </w:lvl>
    <w:lvl w:ilvl="7" w:tplc="91BC48F4">
      <w:start w:val="1"/>
      <w:numFmt w:val="lowerLetter"/>
      <w:lvlText w:val="%8."/>
      <w:lvlJc w:val="left"/>
      <w:pPr>
        <w:ind w:left="5760" w:hanging="360"/>
      </w:pPr>
    </w:lvl>
    <w:lvl w:ilvl="8" w:tplc="0526DB86">
      <w:start w:val="1"/>
      <w:numFmt w:val="lowerRoman"/>
      <w:lvlText w:val="%9."/>
      <w:lvlJc w:val="right"/>
      <w:pPr>
        <w:ind w:left="6480" w:hanging="180"/>
      </w:pPr>
    </w:lvl>
  </w:abstractNum>
  <w:abstractNum w:abstractNumId="15" w15:restartNumberingAfterBreak="0">
    <w:nsid w:val="362904BF"/>
    <w:multiLevelType w:val="hybridMultilevel"/>
    <w:tmpl w:val="FFFFFFFF"/>
    <w:lvl w:ilvl="0" w:tplc="4822AACA">
      <w:start w:val="1"/>
      <w:numFmt w:val="decimal"/>
      <w:lvlText w:val="%1."/>
      <w:lvlJc w:val="left"/>
      <w:pPr>
        <w:ind w:left="720" w:hanging="360"/>
      </w:pPr>
    </w:lvl>
    <w:lvl w:ilvl="1" w:tplc="9D0E89B0">
      <w:start w:val="1"/>
      <w:numFmt w:val="lowerLetter"/>
      <w:lvlText w:val="%2."/>
      <w:lvlJc w:val="left"/>
      <w:pPr>
        <w:ind w:left="1440" w:hanging="360"/>
      </w:pPr>
    </w:lvl>
    <w:lvl w:ilvl="2" w:tplc="B3264340">
      <w:start w:val="1"/>
      <w:numFmt w:val="lowerRoman"/>
      <w:lvlText w:val="%3."/>
      <w:lvlJc w:val="right"/>
      <w:pPr>
        <w:ind w:left="2160" w:hanging="180"/>
      </w:pPr>
    </w:lvl>
    <w:lvl w:ilvl="3" w:tplc="4620C69C">
      <w:start w:val="1"/>
      <w:numFmt w:val="decimal"/>
      <w:lvlText w:val="%4."/>
      <w:lvlJc w:val="left"/>
      <w:pPr>
        <w:ind w:left="2880" w:hanging="360"/>
      </w:pPr>
    </w:lvl>
    <w:lvl w:ilvl="4" w:tplc="F284460C">
      <w:start w:val="1"/>
      <w:numFmt w:val="lowerLetter"/>
      <w:lvlText w:val="%5."/>
      <w:lvlJc w:val="left"/>
      <w:pPr>
        <w:ind w:left="3600" w:hanging="360"/>
      </w:pPr>
    </w:lvl>
    <w:lvl w:ilvl="5" w:tplc="92623E62">
      <w:start w:val="1"/>
      <w:numFmt w:val="lowerRoman"/>
      <w:lvlText w:val="%6."/>
      <w:lvlJc w:val="right"/>
      <w:pPr>
        <w:ind w:left="4320" w:hanging="180"/>
      </w:pPr>
    </w:lvl>
    <w:lvl w:ilvl="6" w:tplc="BDE0DB24">
      <w:start w:val="1"/>
      <w:numFmt w:val="decimal"/>
      <w:lvlText w:val="%7."/>
      <w:lvlJc w:val="left"/>
      <w:pPr>
        <w:ind w:left="5040" w:hanging="360"/>
      </w:pPr>
    </w:lvl>
    <w:lvl w:ilvl="7" w:tplc="99001658">
      <w:start w:val="1"/>
      <w:numFmt w:val="lowerLetter"/>
      <w:lvlText w:val="%8."/>
      <w:lvlJc w:val="left"/>
      <w:pPr>
        <w:ind w:left="5760" w:hanging="360"/>
      </w:pPr>
    </w:lvl>
    <w:lvl w:ilvl="8" w:tplc="9800B1E4">
      <w:start w:val="1"/>
      <w:numFmt w:val="lowerRoman"/>
      <w:lvlText w:val="%9."/>
      <w:lvlJc w:val="right"/>
      <w:pPr>
        <w:ind w:left="6480" w:hanging="180"/>
      </w:pPr>
    </w:lvl>
  </w:abstractNum>
  <w:abstractNum w:abstractNumId="16" w15:restartNumberingAfterBreak="0">
    <w:nsid w:val="36708795"/>
    <w:multiLevelType w:val="hybridMultilevel"/>
    <w:tmpl w:val="FFFFFFFF"/>
    <w:lvl w:ilvl="0" w:tplc="946EE1D4">
      <w:start w:val="1"/>
      <w:numFmt w:val="bullet"/>
      <w:lvlText w:val=""/>
      <w:lvlJc w:val="left"/>
      <w:pPr>
        <w:ind w:left="720" w:hanging="360"/>
      </w:pPr>
      <w:rPr>
        <w:rFonts w:hint="default" w:ascii="Symbol" w:hAnsi="Symbol"/>
      </w:rPr>
    </w:lvl>
    <w:lvl w:ilvl="1" w:tplc="03FC2F78">
      <w:start w:val="1"/>
      <w:numFmt w:val="bullet"/>
      <w:lvlText w:val="o"/>
      <w:lvlJc w:val="left"/>
      <w:pPr>
        <w:ind w:left="1440" w:hanging="360"/>
      </w:pPr>
      <w:rPr>
        <w:rFonts w:hint="default" w:ascii="Courier New" w:hAnsi="Courier New"/>
      </w:rPr>
    </w:lvl>
    <w:lvl w:ilvl="2" w:tplc="807A3564">
      <w:start w:val="1"/>
      <w:numFmt w:val="bullet"/>
      <w:lvlText w:val=""/>
      <w:lvlJc w:val="left"/>
      <w:pPr>
        <w:ind w:left="2160" w:hanging="360"/>
      </w:pPr>
      <w:rPr>
        <w:rFonts w:hint="default" w:ascii="Wingdings" w:hAnsi="Wingdings"/>
      </w:rPr>
    </w:lvl>
    <w:lvl w:ilvl="3" w:tplc="8886F89A">
      <w:start w:val="1"/>
      <w:numFmt w:val="bullet"/>
      <w:lvlText w:val=""/>
      <w:lvlJc w:val="left"/>
      <w:pPr>
        <w:ind w:left="2880" w:hanging="360"/>
      </w:pPr>
      <w:rPr>
        <w:rFonts w:hint="default" w:ascii="Symbol" w:hAnsi="Symbol"/>
      </w:rPr>
    </w:lvl>
    <w:lvl w:ilvl="4" w:tplc="F0548800">
      <w:start w:val="1"/>
      <w:numFmt w:val="bullet"/>
      <w:lvlText w:val="o"/>
      <w:lvlJc w:val="left"/>
      <w:pPr>
        <w:ind w:left="3600" w:hanging="360"/>
      </w:pPr>
      <w:rPr>
        <w:rFonts w:hint="default" w:ascii="Courier New" w:hAnsi="Courier New"/>
      </w:rPr>
    </w:lvl>
    <w:lvl w:ilvl="5" w:tplc="0992A606">
      <w:start w:val="1"/>
      <w:numFmt w:val="bullet"/>
      <w:lvlText w:val=""/>
      <w:lvlJc w:val="left"/>
      <w:pPr>
        <w:ind w:left="4320" w:hanging="360"/>
      </w:pPr>
      <w:rPr>
        <w:rFonts w:hint="default" w:ascii="Wingdings" w:hAnsi="Wingdings"/>
      </w:rPr>
    </w:lvl>
    <w:lvl w:ilvl="6" w:tplc="B0068D40">
      <w:start w:val="1"/>
      <w:numFmt w:val="bullet"/>
      <w:lvlText w:val=""/>
      <w:lvlJc w:val="left"/>
      <w:pPr>
        <w:ind w:left="5040" w:hanging="360"/>
      </w:pPr>
      <w:rPr>
        <w:rFonts w:hint="default" w:ascii="Symbol" w:hAnsi="Symbol"/>
      </w:rPr>
    </w:lvl>
    <w:lvl w:ilvl="7" w:tplc="665A01D2">
      <w:start w:val="1"/>
      <w:numFmt w:val="bullet"/>
      <w:lvlText w:val="o"/>
      <w:lvlJc w:val="left"/>
      <w:pPr>
        <w:ind w:left="5760" w:hanging="360"/>
      </w:pPr>
      <w:rPr>
        <w:rFonts w:hint="default" w:ascii="Courier New" w:hAnsi="Courier New"/>
      </w:rPr>
    </w:lvl>
    <w:lvl w:ilvl="8" w:tplc="27C044D6">
      <w:start w:val="1"/>
      <w:numFmt w:val="bullet"/>
      <w:lvlText w:val=""/>
      <w:lvlJc w:val="left"/>
      <w:pPr>
        <w:ind w:left="6480" w:hanging="360"/>
      </w:pPr>
      <w:rPr>
        <w:rFonts w:hint="default" w:ascii="Wingdings" w:hAnsi="Wingdings"/>
      </w:rPr>
    </w:lvl>
  </w:abstractNum>
  <w:abstractNum w:abstractNumId="17" w15:restartNumberingAfterBreak="0">
    <w:nsid w:val="39081964"/>
    <w:multiLevelType w:val="multilevel"/>
    <w:tmpl w:val="5C28E2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928C4DB"/>
    <w:multiLevelType w:val="hybridMultilevel"/>
    <w:tmpl w:val="74684344"/>
    <w:lvl w:ilvl="0" w:tplc="15DCE8A4">
      <w:start w:val="1"/>
      <w:numFmt w:val="decimal"/>
      <w:lvlText w:val="%1."/>
      <w:lvlJc w:val="left"/>
      <w:pPr>
        <w:ind w:left="720" w:hanging="360"/>
      </w:pPr>
      <w:rPr>
        <w:rFonts w:asciiTheme="minorHAnsi" w:hAnsiTheme="minorHAnsi" w:eastAsiaTheme="minorEastAsia" w:cstheme="minorBidi"/>
      </w:rPr>
    </w:lvl>
    <w:lvl w:ilvl="1" w:tplc="2708D540">
      <w:start w:val="1"/>
      <w:numFmt w:val="lowerLetter"/>
      <w:lvlText w:val="%2."/>
      <w:lvlJc w:val="left"/>
      <w:pPr>
        <w:ind w:left="1440" w:hanging="360"/>
      </w:pPr>
    </w:lvl>
    <w:lvl w:ilvl="2" w:tplc="B6F431B0">
      <w:start w:val="1"/>
      <w:numFmt w:val="lowerRoman"/>
      <w:lvlText w:val="%3."/>
      <w:lvlJc w:val="right"/>
      <w:pPr>
        <w:ind w:left="2160" w:hanging="180"/>
      </w:pPr>
    </w:lvl>
    <w:lvl w:ilvl="3" w:tplc="9AF2BAD2">
      <w:start w:val="1"/>
      <w:numFmt w:val="decimal"/>
      <w:lvlText w:val="%4."/>
      <w:lvlJc w:val="left"/>
      <w:pPr>
        <w:ind w:left="2880" w:hanging="360"/>
      </w:pPr>
    </w:lvl>
    <w:lvl w:ilvl="4" w:tplc="9FB693E4">
      <w:start w:val="1"/>
      <w:numFmt w:val="lowerLetter"/>
      <w:lvlText w:val="%5."/>
      <w:lvlJc w:val="left"/>
      <w:pPr>
        <w:ind w:left="3600" w:hanging="360"/>
      </w:pPr>
    </w:lvl>
    <w:lvl w:ilvl="5" w:tplc="2514DA8A">
      <w:start w:val="1"/>
      <w:numFmt w:val="lowerRoman"/>
      <w:lvlText w:val="%6."/>
      <w:lvlJc w:val="right"/>
      <w:pPr>
        <w:ind w:left="4320" w:hanging="180"/>
      </w:pPr>
    </w:lvl>
    <w:lvl w:ilvl="6" w:tplc="8AFEB81E">
      <w:start w:val="1"/>
      <w:numFmt w:val="decimal"/>
      <w:lvlText w:val="%7."/>
      <w:lvlJc w:val="left"/>
      <w:pPr>
        <w:ind w:left="5040" w:hanging="360"/>
      </w:pPr>
    </w:lvl>
    <w:lvl w:ilvl="7" w:tplc="0EF4FFAA">
      <w:start w:val="1"/>
      <w:numFmt w:val="lowerLetter"/>
      <w:lvlText w:val="%8."/>
      <w:lvlJc w:val="left"/>
      <w:pPr>
        <w:ind w:left="5760" w:hanging="360"/>
      </w:pPr>
    </w:lvl>
    <w:lvl w:ilvl="8" w:tplc="B2748FFA">
      <w:start w:val="1"/>
      <w:numFmt w:val="lowerRoman"/>
      <w:lvlText w:val="%9."/>
      <w:lvlJc w:val="right"/>
      <w:pPr>
        <w:ind w:left="6480" w:hanging="180"/>
      </w:pPr>
    </w:lvl>
  </w:abstractNum>
  <w:abstractNum w:abstractNumId="19" w15:restartNumberingAfterBreak="0">
    <w:nsid w:val="4B726275"/>
    <w:multiLevelType w:val="hybridMultilevel"/>
    <w:tmpl w:val="FFFFFFFF"/>
    <w:lvl w:ilvl="0" w:tplc="531E0CFC">
      <w:start w:val="1"/>
      <w:numFmt w:val="decimal"/>
      <w:lvlText w:val="%1."/>
      <w:lvlJc w:val="left"/>
      <w:pPr>
        <w:ind w:left="720" w:hanging="360"/>
      </w:pPr>
    </w:lvl>
    <w:lvl w:ilvl="1" w:tplc="786427B0">
      <w:start w:val="1"/>
      <w:numFmt w:val="lowerLetter"/>
      <w:lvlText w:val="%2."/>
      <w:lvlJc w:val="left"/>
      <w:pPr>
        <w:ind w:left="1440" w:hanging="360"/>
      </w:pPr>
    </w:lvl>
    <w:lvl w:ilvl="2" w:tplc="E87211BC">
      <w:start w:val="1"/>
      <w:numFmt w:val="lowerRoman"/>
      <w:lvlText w:val="%3."/>
      <w:lvlJc w:val="right"/>
      <w:pPr>
        <w:ind w:left="2160" w:hanging="180"/>
      </w:pPr>
    </w:lvl>
    <w:lvl w:ilvl="3" w:tplc="974E1818">
      <w:start w:val="1"/>
      <w:numFmt w:val="decimal"/>
      <w:lvlText w:val="%4."/>
      <w:lvlJc w:val="left"/>
      <w:pPr>
        <w:ind w:left="2880" w:hanging="360"/>
      </w:pPr>
    </w:lvl>
    <w:lvl w:ilvl="4" w:tplc="D02C9F1C">
      <w:start w:val="1"/>
      <w:numFmt w:val="lowerLetter"/>
      <w:lvlText w:val="%5."/>
      <w:lvlJc w:val="left"/>
      <w:pPr>
        <w:ind w:left="3600" w:hanging="360"/>
      </w:pPr>
    </w:lvl>
    <w:lvl w:ilvl="5" w:tplc="A0A67A8E">
      <w:start w:val="1"/>
      <w:numFmt w:val="lowerRoman"/>
      <w:lvlText w:val="%6."/>
      <w:lvlJc w:val="right"/>
      <w:pPr>
        <w:ind w:left="4320" w:hanging="180"/>
      </w:pPr>
    </w:lvl>
    <w:lvl w:ilvl="6" w:tplc="2DC08F82">
      <w:start w:val="1"/>
      <w:numFmt w:val="decimal"/>
      <w:lvlText w:val="%7."/>
      <w:lvlJc w:val="left"/>
      <w:pPr>
        <w:ind w:left="5040" w:hanging="360"/>
      </w:pPr>
    </w:lvl>
    <w:lvl w:ilvl="7" w:tplc="1BFACA6E">
      <w:start w:val="1"/>
      <w:numFmt w:val="lowerLetter"/>
      <w:lvlText w:val="%8."/>
      <w:lvlJc w:val="left"/>
      <w:pPr>
        <w:ind w:left="5760" w:hanging="360"/>
      </w:pPr>
    </w:lvl>
    <w:lvl w:ilvl="8" w:tplc="724E7DC4">
      <w:start w:val="1"/>
      <w:numFmt w:val="lowerRoman"/>
      <w:lvlText w:val="%9."/>
      <w:lvlJc w:val="right"/>
      <w:pPr>
        <w:ind w:left="6480" w:hanging="180"/>
      </w:pPr>
    </w:lvl>
  </w:abstractNum>
  <w:abstractNum w:abstractNumId="20" w15:restartNumberingAfterBreak="0">
    <w:nsid w:val="51933D31"/>
    <w:multiLevelType w:val="hybridMultilevel"/>
    <w:tmpl w:val="9CA4E212"/>
    <w:lvl w:ilvl="0" w:tplc="844A798C">
      <w:start w:val="1"/>
      <w:numFmt w:val="decimal"/>
      <w:lvlText w:val="%1."/>
      <w:lvlJc w:val="left"/>
      <w:pPr>
        <w:ind w:left="720" w:hanging="360"/>
      </w:pPr>
    </w:lvl>
    <w:lvl w:ilvl="1" w:tplc="51FA39E2">
      <w:start w:val="1"/>
      <w:numFmt w:val="decimal"/>
      <w:lvlText w:val="%2."/>
      <w:lvlJc w:val="left"/>
      <w:pPr>
        <w:ind w:left="720" w:hanging="360"/>
      </w:pPr>
    </w:lvl>
    <w:lvl w:ilvl="2" w:tplc="DD3E0C00">
      <w:start w:val="1"/>
      <w:numFmt w:val="decimal"/>
      <w:lvlText w:val="%3."/>
      <w:lvlJc w:val="left"/>
      <w:pPr>
        <w:ind w:left="720" w:hanging="360"/>
      </w:pPr>
    </w:lvl>
    <w:lvl w:ilvl="3" w:tplc="AA64684E">
      <w:start w:val="1"/>
      <w:numFmt w:val="decimal"/>
      <w:lvlText w:val="%4."/>
      <w:lvlJc w:val="left"/>
      <w:pPr>
        <w:ind w:left="720" w:hanging="360"/>
      </w:pPr>
    </w:lvl>
    <w:lvl w:ilvl="4" w:tplc="F2740820">
      <w:start w:val="1"/>
      <w:numFmt w:val="decimal"/>
      <w:lvlText w:val="%5."/>
      <w:lvlJc w:val="left"/>
      <w:pPr>
        <w:ind w:left="720" w:hanging="360"/>
      </w:pPr>
    </w:lvl>
    <w:lvl w:ilvl="5" w:tplc="29DAD2D8">
      <w:start w:val="1"/>
      <w:numFmt w:val="decimal"/>
      <w:lvlText w:val="%6."/>
      <w:lvlJc w:val="left"/>
      <w:pPr>
        <w:ind w:left="720" w:hanging="360"/>
      </w:pPr>
    </w:lvl>
    <w:lvl w:ilvl="6" w:tplc="20A0E780">
      <w:start w:val="1"/>
      <w:numFmt w:val="decimal"/>
      <w:lvlText w:val="%7."/>
      <w:lvlJc w:val="left"/>
      <w:pPr>
        <w:ind w:left="720" w:hanging="360"/>
      </w:pPr>
    </w:lvl>
    <w:lvl w:ilvl="7" w:tplc="A01003DA">
      <w:start w:val="1"/>
      <w:numFmt w:val="decimal"/>
      <w:lvlText w:val="%8."/>
      <w:lvlJc w:val="left"/>
      <w:pPr>
        <w:ind w:left="720" w:hanging="360"/>
      </w:pPr>
    </w:lvl>
    <w:lvl w:ilvl="8" w:tplc="42A4E828">
      <w:start w:val="1"/>
      <w:numFmt w:val="decimal"/>
      <w:lvlText w:val="%9."/>
      <w:lvlJc w:val="left"/>
      <w:pPr>
        <w:ind w:left="720" w:hanging="360"/>
      </w:pPr>
    </w:lvl>
  </w:abstractNum>
  <w:abstractNum w:abstractNumId="21" w15:restartNumberingAfterBreak="0">
    <w:nsid w:val="54C48F79"/>
    <w:multiLevelType w:val="hybridMultilevel"/>
    <w:tmpl w:val="FFFFFFFF"/>
    <w:lvl w:ilvl="0" w:tplc="274E5C12">
      <w:start w:val="1"/>
      <w:numFmt w:val="decimal"/>
      <w:lvlText w:val="%1."/>
      <w:lvlJc w:val="left"/>
      <w:pPr>
        <w:ind w:left="720" w:hanging="360"/>
      </w:pPr>
    </w:lvl>
    <w:lvl w:ilvl="1" w:tplc="8EFC021E">
      <w:start w:val="1"/>
      <w:numFmt w:val="lowerLetter"/>
      <w:lvlText w:val="%2."/>
      <w:lvlJc w:val="left"/>
      <w:pPr>
        <w:ind w:left="1440" w:hanging="360"/>
      </w:pPr>
    </w:lvl>
    <w:lvl w:ilvl="2" w:tplc="7334F6C6">
      <w:start w:val="1"/>
      <w:numFmt w:val="lowerRoman"/>
      <w:lvlText w:val="%3."/>
      <w:lvlJc w:val="right"/>
      <w:pPr>
        <w:ind w:left="2160" w:hanging="180"/>
      </w:pPr>
    </w:lvl>
    <w:lvl w:ilvl="3" w:tplc="B12EB2C8">
      <w:start w:val="1"/>
      <w:numFmt w:val="decimal"/>
      <w:lvlText w:val="%4."/>
      <w:lvlJc w:val="left"/>
      <w:pPr>
        <w:ind w:left="2880" w:hanging="360"/>
      </w:pPr>
    </w:lvl>
    <w:lvl w:ilvl="4" w:tplc="48E6F756">
      <w:start w:val="1"/>
      <w:numFmt w:val="lowerLetter"/>
      <w:lvlText w:val="%5."/>
      <w:lvlJc w:val="left"/>
      <w:pPr>
        <w:ind w:left="3600" w:hanging="360"/>
      </w:pPr>
    </w:lvl>
    <w:lvl w:ilvl="5" w:tplc="4ABED8BE">
      <w:start w:val="1"/>
      <w:numFmt w:val="lowerRoman"/>
      <w:lvlText w:val="%6."/>
      <w:lvlJc w:val="right"/>
      <w:pPr>
        <w:ind w:left="4320" w:hanging="180"/>
      </w:pPr>
    </w:lvl>
    <w:lvl w:ilvl="6" w:tplc="6D8649D2">
      <w:start w:val="1"/>
      <w:numFmt w:val="decimal"/>
      <w:lvlText w:val="%7."/>
      <w:lvlJc w:val="left"/>
      <w:pPr>
        <w:ind w:left="5040" w:hanging="360"/>
      </w:pPr>
    </w:lvl>
    <w:lvl w:ilvl="7" w:tplc="59B0136E">
      <w:start w:val="1"/>
      <w:numFmt w:val="lowerLetter"/>
      <w:lvlText w:val="%8."/>
      <w:lvlJc w:val="left"/>
      <w:pPr>
        <w:ind w:left="5760" w:hanging="360"/>
      </w:pPr>
    </w:lvl>
    <w:lvl w:ilvl="8" w:tplc="BF6E69C0">
      <w:start w:val="1"/>
      <w:numFmt w:val="lowerRoman"/>
      <w:lvlText w:val="%9."/>
      <w:lvlJc w:val="right"/>
      <w:pPr>
        <w:ind w:left="6480" w:hanging="180"/>
      </w:pPr>
    </w:lvl>
  </w:abstractNum>
  <w:abstractNum w:abstractNumId="22" w15:restartNumberingAfterBreak="0">
    <w:nsid w:val="58046C3C"/>
    <w:multiLevelType w:val="multilevel"/>
    <w:tmpl w:val="EF80C1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BA3D46F"/>
    <w:multiLevelType w:val="hybridMultilevel"/>
    <w:tmpl w:val="FFFFFFFF"/>
    <w:lvl w:ilvl="0" w:tplc="6ABE574E">
      <w:start w:val="1"/>
      <w:numFmt w:val="decimal"/>
      <w:lvlText w:val="%1."/>
      <w:lvlJc w:val="left"/>
      <w:pPr>
        <w:ind w:left="720" w:hanging="360"/>
      </w:pPr>
    </w:lvl>
    <w:lvl w:ilvl="1" w:tplc="D35E5954">
      <w:start w:val="1"/>
      <w:numFmt w:val="lowerLetter"/>
      <w:lvlText w:val="%2."/>
      <w:lvlJc w:val="left"/>
      <w:pPr>
        <w:ind w:left="1440" w:hanging="360"/>
      </w:pPr>
    </w:lvl>
    <w:lvl w:ilvl="2" w:tplc="68DA1520">
      <w:start w:val="1"/>
      <w:numFmt w:val="lowerRoman"/>
      <w:lvlText w:val="%3."/>
      <w:lvlJc w:val="right"/>
      <w:pPr>
        <w:ind w:left="2160" w:hanging="180"/>
      </w:pPr>
    </w:lvl>
    <w:lvl w:ilvl="3" w:tplc="C43CE822">
      <w:start w:val="1"/>
      <w:numFmt w:val="decimal"/>
      <w:lvlText w:val="%4."/>
      <w:lvlJc w:val="left"/>
      <w:pPr>
        <w:ind w:left="2880" w:hanging="360"/>
      </w:pPr>
    </w:lvl>
    <w:lvl w:ilvl="4" w:tplc="0E120CD2">
      <w:start w:val="1"/>
      <w:numFmt w:val="lowerLetter"/>
      <w:lvlText w:val="%5."/>
      <w:lvlJc w:val="left"/>
      <w:pPr>
        <w:ind w:left="3600" w:hanging="360"/>
      </w:pPr>
    </w:lvl>
    <w:lvl w:ilvl="5" w:tplc="539E46A6">
      <w:start w:val="1"/>
      <w:numFmt w:val="lowerRoman"/>
      <w:lvlText w:val="%6."/>
      <w:lvlJc w:val="right"/>
      <w:pPr>
        <w:ind w:left="4320" w:hanging="180"/>
      </w:pPr>
    </w:lvl>
    <w:lvl w:ilvl="6" w:tplc="B4C8F94A">
      <w:start w:val="1"/>
      <w:numFmt w:val="decimal"/>
      <w:lvlText w:val="%7."/>
      <w:lvlJc w:val="left"/>
      <w:pPr>
        <w:ind w:left="5040" w:hanging="360"/>
      </w:pPr>
    </w:lvl>
    <w:lvl w:ilvl="7" w:tplc="4D7A9EBA">
      <w:start w:val="1"/>
      <w:numFmt w:val="lowerLetter"/>
      <w:lvlText w:val="%8."/>
      <w:lvlJc w:val="left"/>
      <w:pPr>
        <w:ind w:left="5760" w:hanging="360"/>
      </w:pPr>
    </w:lvl>
    <w:lvl w:ilvl="8" w:tplc="B1F81948">
      <w:start w:val="1"/>
      <w:numFmt w:val="lowerRoman"/>
      <w:lvlText w:val="%9."/>
      <w:lvlJc w:val="right"/>
      <w:pPr>
        <w:ind w:left="6480" w:hanging="180"/>
      </w:pPr>
    </w:lvl>
  </w:abstractNum>
  <w:abstractNum w:abstractNumId="24" w15:restartNumberingAfterBreak="0">
    <w:nsid w:val="6181EBD8"/>
    <w:multiLevelType w:val="hybridMultilevel"/>
    <w:tmpl w:val="63926F88"/>
    <w:lvl w:ilvl="0" w:tplc="3A32049A">
      <w:start w:val="1"/>
      <w:numFmt w:val="bullet"/>
      <w:lvlText w:val="·"/>
      <w:lvlJc w:val="left"/>
      <w:pPr>
        <w:ind w:left="720" w:hanging="360"/>
      </w:pPr>
      <w:rPr>
        <w:rFonts w:hint="default" w:ascii="Symbol" w:hAnsi="Symbol"/>
      </w:rPr>
    </w:lvl>
    <w:lvl w:ilvl="1" w:tplc="05A6FD4E">
      <w:start w:val="1"/>
      <w:numFmt w:val="bullet"/>
      <w:lvlText w:val="o"/>
      <w:lvlJc w:val="left"/>
      <w:pPr>
        <w:ind w:left="1440" w:hanging="360"/>
      </w:pPr>
      <w:rPr>
        <w:rFonts w:hint="default" w:ascii="Courier New" w:hAnsi="Courier New"/>
      </w:rPr>
    </w:lvl>
    <w:lvl w:ilvl="2" w:tplc="1C02E988">
      <w:start w:val="1"/>
      <w:numFmt w:val="bullet"/>
      <w:lvlText w:val=""/>
      <w:lvlJc w:val="left"/>
      <w:pPr>
        <w:ind w:left="2160" w:hanging="360"/>
      </w:pPr>
      <w:rPr>
        <w:rFonts w:hint="default" w:ascii="Wingdings" w:hAnsi="Wingdings"/>
      </w:rPr>
    </w:lvl>
    <w:lvl w:ilvl="3" w:tplc="B9C2C3E0">
      <w:start w:val="1"/>
      <w:numFmt w:val="bullet"/>
      <w:lvlText w:val=""/>
      <w:lvlJc w:val="left"/>
      <w:pPr>
        <w:ind w:left="2880" w:hanging="360"/>
      </w:pPr>
      <w:rPr>
        <w:rFonts w:hint="default" w:ascii="Symbol" w:hAnsi="Symbol"/>
      </w:rPr>
    </w:lvl>
    <w:lvl w:ilvl="4" w:tplc="24B0FD7C">
      <w:start w:val="1"/>
      <w:numFmt w:val="bullet"/>
      <w:lvlText w:val="o"/>
      <w:lvlJc w:val="left"/>
      <w:pPr>
        <w:ind w:left="3600" w:hanging="360"/>
      </w:pPr>
      <w:rPr>
        <w:rFonts w:hint="default" w:ascii="Courier New" w:hAnsi="Courier New"/>
      </w:rPr>
    </w:lvl>
    <w:lvl w:ilvl="5" w:tplc="263C23B0">
      <w:start w:val="1"/>
      <w:numFmt w:val="bullet"/>
      <w:lvlText w:val=""/>
      <w:lvlJc w:val="left"/>
      <w:pPr>
        <w:ind w:left="4320" w:hanging="360"/>
      </w:pPr>
      <w:rPr>
        <w:rFonts w:hint="default" w:ascii="Wingdings" w:hAnsi="Wingdings"/>
      </w:rPr>
    </w:lvl>
    <w:lvl w:ilvl="6" w:tplc="74C8B5A4">
      <w:start w:val="1"/>
      <w:numFmt w:val="bullet"/>
      <w:lvlText w:val=""/>
      <w:lvlJc w:val="left"/>
      <w:pPr>
        <w:ind w:left="5040" w:hanging="360"/>
      </w:pPr>
      <w:rPr>
        <w:rFonts w:hint="default" w:ascii="Symbol" w:hAnsi="Symbol"/>
      </w:rPr>
    </w:lvl>
    <w:lvl w:ilvl="7" w:tplc="F42CEA4A">
      <w:start w:val="1"/>
      <w:numFmt w:val="bullet"/>
      <w:lvlText w:val="o"/>
      <w:lvlJc w:val="left"/>
      <w:pPr>
        <w:ind w:left="5760" w:hanging="360"/>
      </w:pPr>
      <w:rPr>
        <w:rFonts w:hint="default" w:ascii="Courier New" w:hAnsi="Courier New"/>
      </w:rPr>
    </w:lvl>
    <w:lvl w:ilvl="8" w:tplc="CF047AEC">
      <w:start w:val="1"/>
      <w:numFmt w:val="bullet"/>
      <w:lvlText w:val=""/>
      <w:lvlJc w:val="left"/>
      <w:pPr>
        <w:ind w:left="6480" w:hanging="360"/>
      </w:pPr>
      <w:rPr>
        <w:rFonts w:hint="default" w:ascii="Wingdings" w:hAnsi="Wingdings"/>
      </w:rPr>
    </w:lvl>
  </w:abstractNum>
  <w:abstractNum w:abstractNumId="25" w15:restartNumberingAfterBreak="0">
    <w:nsid w:val="67AD166B"/>
    <w:multiLevelType w:val="hybridMultilevel"/>
    <w:tmpl w:val="5D1203B8"/>
    <w:lvl w:ilvl="0" w:tplc="12022DCE">
      <w:start w:val="1"/>
      <w:numFmt w:val="decimal"/>
      <w:lvlText w:val="%1."/>
      <w:lvlJc w:val="left"/>
      <w:pPr>
        <w:ind w:left="720" w:hanging="360"/>
      </w:pPr>
    </w:lvl>
    <w:lvl w:ilvl="1" w:tplc="9982A9C4">
      <w:start w:val="1"/>
      <w:numFmt w:val="decimal"/>
      <w:lvlText w:val="%2."/>
      <w:lvlJc w:val="left"/>
      <w:pPr>
        <w:ind w:left="720" w:hanging="360"/>
      </w:pPr>
    </w:lvl>
    <w:lvl w:ilvl="2" w:tplc="64FEC51C">
      <w:start w:val="1"/>
      <w:numFmt w:val="decimal"/>
      <w:lvlText w:val="%3."/>
      <w:lvlJc w:val="left"/>
      <w:pPr>
        <w:ind w:left="720" w:hanging="360"/>
      </w:pPr>
    </w:lvl>
    <w:lvl w:ilvl="3" w:tplc="4C76E478">
      <w:start w:val="1"/>
      <w:numFmt w:val="decimal"/>
      <w:lvlText w:val="%4."/>
      <w:lvlJc w:val="left"/>
      <w:pPr>
        <w:ind w:left="720" w:hanging="360"/>
      </w:pPr>
    </w:lvl>
    <w:lvl w:ilvl="4" w:tplc="6D5E0BF0">
      <w:start w:val="1"/>
      <w:numFmt w:val="decimal"/>
      <w:lvlText w:val="%5."/>
      <w:lvlJc w:val="left"/>
      <w:pPr>
        <w:ind w:left="720" w:hanging="360"/>
      </w:pPr>
    </w:lvl>
    <w:lvl w:ilvl="5" w:tplc="721E650E">
      <w:start w:val="1"/>
      <w:numFmt w:val="decimal"/>
      <w:lvlText w:val="%6."/>
      <w:lvlJc w:val="left"/>
      <w:pPr>
        <w:ind w:left="720" w:hanging="360"/>
      </w:pPr>
    </w:lvl>
    <w:lvl w:ilvl="6" w:tplc="37182054">
      <w:start w:val="1"/>
      <w:numFmt w:val="decimal"/>
      <w:lvlText w:val="%7."/>
      <w:lvlJc w:val="left"/>
      <w:pPr>
        <w:ind w:left="720" w:hanging="360"/>
      </w:pPr>
    </w:lvl>
    <w:lvl w:ilvl="7" w:tplc="A5E6E204">
      <w:start w:val="1"/>
      <w:numFmt w:val="decimal"/>
      <w:lvlText w:val="%8."/>
      <w:lvlJc w:val="left"/>
      <w:pPr>
        <w:ind w:left="720" w:hanging="360"/>
      </w:pPr>
    </w:lvl>
    <w:lvl w:ilvl="8" w:tplc="47842674">
      <w:start w:val="1"/>
      <w:numFmt w:val="decimal"/>
      <w:lvlText w:val="%9."/>
      <w:lvlJc w:val="left"/>
      <w:pPr>
        <w:ind w:left="720" w:hanging="360"/>
      </w:pPr>
    </w:lvl>
  </w:abstractNum>
  <w:abstractNum w:abstractNumId="26" w15:restartNumberingAfterBreak="0">
    <w:nsid w:val="6A953F6F"/>
    <w:multiLevelType w:val="hybridMultilevel"/>
    <w:tmpl w:val="FFFFFFFF"/>
    <w:lvl w:ilvl="0" w:tplc="FF4EFF5C">
      <w:start w:val="1"/>
      <w:numFmt w:val="decimal"/>
      <w:lvlText w:val="%1."/>
      <w:lvlJc w:val="left"/>
      <w:pPr>
        <w:ind w:left="720" w:hanging="360"/>
      </w:pPr>
    </w:lvl>
    <w:lvl w:ilvl="1" w:tplc="0D4A473E">
      <w:start w:val="1"/>
      <w:numFmt w:val="lowerLetter"/>
      <w:lvlText w:val="%2."/>
      <w:lvlJc w:val="left"/>
      <w:pPr>
        <w:ind w:left="1440" w:hanging="360"/>
      </w:pPr>
    </w:lvl>
    <w:lvl w:ilvl="2" w:tplc="A726F7C8">
      <w:start w:val="1"/>
      <w:numFmt w:val="lowerRoman"/>
      <w:lvlText w:val="%3."/>
      <w:lvlJc w:val="right"/>
      <w:pPr>
        <w:ind w:left="2160" w:hanging="180"/>
      </w:pPr>
    </w:lvl>
    <w:lvl w:ilvl="3" w:tplc="7E144626">
      <w:start w:val="1"/>
      <w:numFmt w:val="decimal"/>
      <w:lvlText w:val="%4."/>
      <w:lvlJc w:val="left"/>
      <w:pPr>
        <w:ind w:left="2880" w:hanging="360"/>
      </w:pPr>
    </w:lvl>
    <w:lvl w:ilvl="4" w:tplc="6BBA5FAC">
      <w:start w:val="1"/>
      <w:numFmt w:val="lowerLetter"/>
      <w:lvlText w:val="%5."/>
      <w:lvlJc w:val="left"/>
      <w:pPr>
        <w:ind w:left="3600" w:hanging="360"/>
      </w:pPr>
    </w:lvl>
    <w:lvl w:ilvl="5" w:tplc="AF98074E">
      <w:start w:val="1"/>
      <w:numFmt w:val="lowerRoman"/>
      <w:lvlText w:val="%6."/>
      <w:lvlJc w:val="right"/>
      <w:pPr>
        <w:ind w:left="4320" w:hanging="180"/>
      </w:pPr>
    </w:lvl>
    <w:lvl w:ilvl="6" w:tplc="9D2AC1A0">
      <w:start w:val="1"/>
      <w:numFmt w:val="decimal"/>
      <w:lvlText w:val="%7."/>
      <w:lvlJc w:val="left"/>
      <w:pPr>
        <w:ind w:left="5040" w:hanging="360"/>
      </w:pPr>
    </w:lvl>
    <w:lvl w:ilvl="7" w:tplc="C7E05882">
      <w:start w:val="1"/>
      <w:numFmt w:val="lowerLetter"/>
      <w:lvlText w:val="%8."/>
      <w:lvlJc w:val="left"/>
      <w:pPr>
        <w:ind w:left="5760" w:hanging="360"/>
      </w:pPr>
    </w:lvl>
    <w:lvl w:ilvl="8" w:tplc="F6F49B3A">
      <w:start w:val="1"/>
      <w:numFmt w:val="lowerRoman"/>
      <w:lvlText w:val="%9."/>
      <w:lvlJc w:val="right"/>
      <w:pPr>
        <w:ind w:left="6480" w:hanging="180"/>
      </w:pPr>
    </w:lvl>
  </w:abstractNum>
  <w:abstractNum w:abstractNumId="27" w15:restartNumberingAfterBreak="0">
    <w:nsid w:val="6BBA0923"/>
    <w:multiLevelType w:val="hybridMultilevel"/>
    <w:tmpl w:val="77EABEEC"/>
    <w:lvl w:ilvl="0" w:tplc="DD7A3FC2">
      <w:start w:val="1"/>
      <w:numFmt w:val="decimal"/>
      <w:lvlText w:val="%1."/>
      <w:lvlJc w:val="left"/>
      <w:pPr>
        <w:ind w:left="720" w:hanging="360"/>
      </w:pPr>
    </w:lvl>
    <w:lvl w:ilvl="1" w:tplc="7766F5B6">
      <w:start w:val="1"/>
      <w:numFmt w:val="decimal"/>
      <w:lvlText w:val="%2."/>
      <w:lvlJc w:val="left"/>
      <w:pPr>
        <w:ind w:left="720" w:hanging="360"/>
      </w:pPr>
    </w:lvl>
    <w:lvl w:ilvl="2" w:tplc="C90C8F38">
      <w:start w:val="1"/>
      <w:numFmt w:val="decimal"/>
      <w:lvlText w:val="%3."/>
      <w:lvlJc w:val="left"/>
      <w:pPr>
        <w:ind w:left="720" w:hanging="360"/>
      </w:pPr>
    </w:lvl>
    <w:lvl w:ilvl="3" w:tplc="F1109C14">
      <w:start w:val="1"/>
      <w:numFmt w:val="decimal"/>
      <w:lvlText w:val="%4."/>
      <w:lvlJc w:val="left"/>
      <w:pPr>
        <w:ind w:left="720" w:hanging="360"/>
      </w:pPr>
    </w:lvl>
    <w:lvl w:ilvl="4" w:tplc="3FCAB242">
      <w:start w:val="1"/>
      <w:numFmt w:val="decimal"/>
      <w:lvlText w:val="%5."/>
      <w:lvlJc w:val="left"/>
      <w:pPr>
        <w:ind w:left="720" w:hanging="360"/>
      </w:pPr>
    </w:lvl>
    <w:lvl w:ilvl="5" w:tplc="2B8E6E2E">
      <w:start w:val="1"/>
      <w:numFmt w:val="decimal"/>
      <w:lvlText w:val="%6."/>
      <w:lvlJc w:val="left"/>
      <w:pPr>
        <w:ind w:left="720" w:hanging="360"/>
      </w:pPr>
    </w:lvl>
    <w:lvl w:ilvl="6" w:tplc="482C3A00">
      <w:start w:val="1"/>
      <w:numFmt w:val="decimal"/>
      <w:lvlText w:val="%7."/>
      <w:lvlJc w:val="left"/>
      <w:pPr>
        <w:ind w:left="720" w:hanging="360"/>
      </w:pPr>
    </w:lvl>
    <w:lvl w:ilvl="7" w:tplc="A2CAD1CA">
      <w:start w:val="1"/>
      <w:numFmt w:val="decimal"/>
      <w:lvlText w:val="%8."/>
      <w:lvlJc w:val="left"/>
      <w:pPr>
        <w:ind w:left="720" w:hanging="360"/>
      </w:pPr>
    </w:lvl>
    <w:lvl w:ilvl="8" w:tplc="EBE2D0D4">
      <w:start w:val="1"/>
      <w:numFmt w:val="decimal"/>
      <w:lvlText w:val="%9."/>
      <w:lvlJc w:val="left"/>
      <w:pPr>
        <w:ind w:left="720" w:hanging="360"/>
      </w:pPr>
    </w:lvl>
  </w:abstractNum>
  <w:abstractNum w:abstractNumId="28" w15:restartNumberingAfterBreak="0">
    <w:nsid w:val="6D94A4C5"/>
    <w:multiLevelType w:val="hybridMultilevel"/>
    <w:tmpl w:val="FFFFFFFF"/>
    <w:lvl w:ilvl="0" w:tplc="D7D6B968">
      <w:start w:val="1"/>
      <w:numFmt w:val="decimal"/>
      <w:lvlText w:val="%1."/>
      <w:lvlJc w:val="left"/>
      <w:pPr>
        <w:ind w:left="720" w:hanging="360"/>
      </w:pPr>
    </w:lvl>
    <w:lvl w:ilvl="1" w:tplc="487297F8">
      <w:start w:val="1"/>
      <w:numFmt w:val="lowerLetter"/>
      <w:lvlText w:val="%2."/>
      <w:lvlJc w:val="left"/>
      <w:pPr>
        <w:ind w:left="1440" w:hanging="360"/>
      </w:pPr>
    </w:lvl>
    <w:lvl w:ilvl="2" w:tplc="6F08E850">
      <w:start w:val="1"/>
      <w:numFmt w:val="lowerRoman"/>
      <w:lvlText w:val="%3."/>
      <w:lvlJc w:val="right"/>
      <w:pPr>
        <w:ind w:left="2160" w:hanging="180"/>
      </w:pPr>
    </w:lvl>
    <w:lvl w:ilvl="3" w:tplc="E59405FC">
      <w:start w:val="1"/>
      <w:numFmt w:val="decimal"/>
      <w:lvlText w:val="%4."/>
      <w:lvlJc w:val="left"/>
      <w:pPr>
        <w:ind w:left="2880" w:hanging="360"/>
      </w:pPr>
    </w:lvl>
    <w:lvl w:ilvl="4" w:tplc="06F8B9EA">
      <w:start w:val="1"/>
      <w:numFmt w:val="lowerLetter"/>
      <w:lvlText w:val="%5."/>
      <w:lvlJc w:val="left"/>
      <w:pPr>
        <w:ind w:left="3600" w:hanging="360"/>
      </w:pPr>
    </w:lvl>
    <w:lvl w:ilvl="5" w:tplc="00062AE4">
      <w:start w:val="1"/>
      <w:numFmt w:val="lowerRoman"/>
      <w:lvlText w:val="%6."/>
      <w:lvlJc w:val="right"/>
      <w:pPr>
        <w:ind w:left="4320" w:hanging="180"/>
      </w:pPr>
    </w:lvl>
    <w:lvl w:ilvl="6" w:tplc="BF383FD2">
      <w:start w:val="1"/>
      <w:numFmt w:val="decimal"/>
      <w:lvlText w:val="%7."/>
      <w:lvlJc w:val="left"/>
      <w:pPr>
        <w:ind w:left="5040" w:hanging="360"/>
      </w:pPr>
    </w:lvl>
    <w:lvl w:ilvl="7" w:tplc="B56A4796">
      <w:start w:val="1"/>
      <w:numFmt w:val="lowerLetter"/>
      <w:lvlText w:val="%8."/>
      <w:lvlJc w:val="left"/>
      <w:pPr>
        <w:ind w:left="5760" w:hanging="360"/>
      </w:pPr>
    </w:lvl>
    <w:lvl w:ilvl="8" w:tplc="B140593C">
      <w:start w:val="1"/>
      <w:numFmt w:val="lowerRoman"/>
      <w:lvlText w:val="%9."/>
      <w:lvlJc w:val="right"/>
      <w:pPr>
        <w:ind w:left="6480" w:hanging="180"/>
      </w:pPr>
    </w:lvl>
  </w:abstractNum>
  <w:abstractNum w:abstractNumId="29" w15:restartNumberingAfterBreak="0">
    <w:nsid w:val="6DAA667D"/>
    <w:multiLevelType w:val="hybridMultilevel"/>
    <w:tmpl w:val="2EEED038"/>
    <w:lvl w:ilvl="0" w:tplc="9D206F6C">
      <w:start w:val="1"/>
      <w:numFmt w:val="decimal"/>
      <w:lvlText w:val="%1."/>
      <w:lvlJc w:val="left"/>
      <w:pPr>
        <w:ind w:left="720" w:hanging="360"/>
      </w:pPr>
    </w:lvl>
    <w:lvl w:ilvl="1" w:tplc="EEFAB510">
      <w:start w:val="1"/>
      <w:numFmt w:val="decimal"/>
      <w:lvlText w:val="%2."/>
      <w:lvlJc w:val="left"/>
      <w:pPr>
        <w:ind w:left="720" w:hanging="360"/>
      </w:pPr>
    </w:lvl>
    <w:lvl w:ilvl="2" w:tplc="93B07304">
      <w:start w:val="1"/>
      <w:numFmt w:val="decimal"/>
      <w:lvlText w:val="%3."/>
      <w:lvlJc w:val="left"/>
      <w:pPr>
        <w:ind w:left="720" w:hanging="360"/>
      </w:pPr>
    </w:lvl>
    <w:lvl w:ilvl="3" w:tplc="BD588A92">
      <w:start w:val="1"/>
      <w:numFmt w:val="decimal"/>
      <w:lvlText w:val="%4."/>
      <w:lvlJc w:val="left"/>
      <w:pPr>
        <w:ind w:left="720" w:hanging="360"/>
      </w:pPr>
    </w:lvl>
    <w:lvl w:ilvl="4" w:tplc="AD94A33E">
      <w:start w:val="1"/>
      <w:numFmt w:val="decimal"/>
      <w:lvlText w:val="%5."/>
      <w:lvlJc w:val="left"/>
      <w:pPr>
        <w:ind w:left="720" w:hanging="360"/>
      </w:pPr>
    </w:lvl>
    <w:lvl w:ilvl="5" w:tplc="0A248536">
      <w:start w:val="1"/>
      <w:numFmt w:val="decimal"/>
      <w:lvlText w:val="%6."/>
      <w:lvlJc w:val="left"/>
      <w:pPr>
        <w:ind w:left="720" w:hanging="360"/>
      </w:pPr>
    </w:lvl>
    <w:lvl w:ilvl="6" w:tplc="DA8CAD00">
      <w:start w:val="1"/>
      <w:numFmt w:val="decimal"/>
      <w:lvlText w:val="%7."/>
      <w:lvlJc w:val="left"/>
      <w:pPr>
        <w:ind w:left="720" w:hanging="360"/>
      </w:pPr>
    </w:lvl>
    <w:lvl w:ilvl="7" w:tplc="4A90041E">
      <w:start w:val="1"/>
      <w:numFmt w:val="decimal"/>
      <w:lvlText w:val="%8."/>
      <w:lvlJc w:val="left"/>
      <w:pPr>
        <w:ind w:left="720" w:hanging="360"/>
      </w:pPr>
    </w:lvl>
    <w:lvl w:ilvl="8" w:tplc="2FDEDF0E">
      <w:start w:val="1"/>
      <w:numFmt w:val="decimal"/>
      <w:lvlText w:val="%9."/>
      <w:lvlJc w:val="left"/>
      <w:pPr>
        <w:ind w:left="720" w:hanging="360"/>
      </w:pPr>
    </w:lvl>
  </w:abstractNum>
  <w:abstractNum w:abstractNumId="30" w15:restartNumberingAfterBreak="0">
    <w:nsid w:val="72230C83"/>
    <w:multiLevelType w:val="hybridMultilevel"/>
    <w:tmpl w:val="FFFFFFFF"/>
    <w:lvl w:ilvl="0" w:tplc="74A4316A">
      <w:start w:val="1"/>
      <w:numFmt w:val="decimal"/>
      <w:lvlText w:val="%1."/>
      <w:lvlJc w:val="left"/>
      <w:pPr>
        <w:ind w:left="720" w:hanging="360"/>
      </w:pPr>
    </w:lvl>
    <w:lvl w:ilvl="1" w:tplc="364ECADE">
      <w:start w:val="1"/>
      <w:numFmt w:val="lowerLetter"/>
      <w:lvlText w:val="%2."/>
      <w:lvlJc w:val="left"/>
      <w:pPr>
        <w:ind w:left="1440" w:hanging="360"/>
      </w:pPr>
    </w:lvl>
    <w:lvl w:ilvl="2" w:tplc="4426D0C2">
      <w:start w:val="1"/>
      <w:numFmt w:val="lowerRoman"/>
      <w:lvlText w:val="%3."/>
      <w:lvlJc w:val="right"/>
      <w:pPr>
        <w:ind w:left="2160" w:hanging="180"/>
      </w:pPr>
    </w:lvl>
    <w:lvl w:ilvl="3" w:tplc="5EE4E584">
      <w:start w:val="1"/>
      <w:numFmt w:val="decimal"/>
      <w:lvlText w:val="%4."/>
      <w:lvlJc w:val="left"/>
      <w:pPr>
        <w:ind w:left="2880" w:hanging="360"/>
      </w:pPr>
    </w:lvl>
    <w:lvl w:ilvl="4" w:tplc="B906CE9E">
      <w:start w:val="1"/>
      <w:numFmt w:val="lowerLetter"/>
      <w:lvlText w:val="%5."/>
      <w:lvlJc w:val="left"/>
      <w:pPr>
        <w:ind w:left="3600" w:hanging="360"/>
      </w:pPr>
    </w:lvl>
    <w:lvl w:ilvl="5" w:tplc="0D34C0AA">
      <w:start w:val="1"/>
      <w:numFmt w:val="lowerRoman"/>
      <w:lvlText w:val="%6."/>
      <w:lvlJc w:val="right"/>
      <w:pPr>
        <w:ind w:left="4320" w:hanging="180"/>
      </w:pPr>
    </w:lvl>
    <w:lvl w:ilvl="6" w:tplc="D194D090">
      <w:start w:val="1"/>
      <w:numFmt w:val="decimal"/>
      <w:lvlText w:val="%7."/>
      <w:lvlJc w:val="left"/>
      <w:pPr>
        <w:ind w:left="5040" w:hanging="360"/>
      </w:pPr>
    </w:lvl>
    <w:lvl w:ilvl="7" w:tplc="9CD62B7A">
      <w:start w:val="1"/>
      <w:numFmt w:val="lowerLetter"/>
      <w:lvlText w:val="%8."/>
      <w:lvlJc w:val="left"/>
      <w:pPr>
        <w:ind w:left="5760" w:hanging="360"/>
      </w:pPr>
    </w:lvl>
    <w:lvl w:ilvl="8" w:tplc="4978E198">
      <w:start w:val="1"/>
      <w:numFmt w:val="lowerRoman"/>
      <w:lvlText w:val="%9."/>
      <w:lvlJc w:val="right"/>
      <w:pPr>
        <w:ind w:left="6480" w:hanging="180"/>
      </w:pPr>
    </w:lvl>
  </w:abstractNum>
  <w:abstractNum w:abstractNumId="31" w15:restartNumberingAfterBreak="0">
    <w:nsid w:val="72ED7338"/>
    <w:multiLevelType w:val="hybridMultilevel"/>
    <w:tmpl w:val="FFFFFFFF"/>
    <w:lvl w:ilvl="0" w:tplc="F14E05C6">
      <w:start w:val="1"/>
      <w:numFmt w:val="decimal"/>
      <w:lvlText w:val="%1."/>
      <w:lvlJc w:val="left"/>
      <w:pPr>
        <w:ind w:left="720" w:hanging="360"/>
      </w:pPr>
    </w:lvl>
    <w:lvl w:ilvl="1" w:tplc="0136E330">
      <w:start w:val="1"/>
      <w:numFmt w:val="lowerLetter"/>
      <w:lvlText w:val="%2."/>
      <w:lvlJc w:val="left"/>
      <w:pPr>
        <w:ind w:left="1800" w:hanging="360"/>
      </w:pPr>
    </w:lvl>
    <w:lvl w:ilvl="2" w:tplc="42D66E22">
      <w:start w:val="1"/>
      <w:numFmt w:val="lowerRoman"/>
      <w:lvlText w:val="%3."/>
      <w:lvlJc w:val="right"/>
      <w:pPr>
        <w:ind w:left="2520" w:hanging="180"/>
      </w:pPr>
    </w:lvl>
    <w:lvl w:ilvl="3" w:tplc="662AB0E2">
      <w:start w:val="1"/>
      <w:numFmt w:val="decimal"/>
      <w:lvlText w:val="%4."/>
      <w:lvlJc w:val="left"/>
      <w:pPr>
        <w:ind w:left="3240" w:hanging="360"/>
      </w:pPr>
    </w:lvl>
    <w:lvl w:ilvl="4" w:tplc="55D2B81E">
      <w:start w:val="1"/>
      <w:numFmt w:val="lowerLetter"/>
      <w:lvlText w:val="%5."/>
      <w:lvlJc w:val="left"/>
      <w:pPr>
        <w:ind w:left="3960" w:hanging="360"/>
      </w:pPr>
    </w:lvl>
    <w:lvl w:ilvl="5" w:tplc="CE180764">
      <w:start w:val="1"/>
      <w:numFmt w:val="lowerRoman"/>
      <w:lvlText w:val="%6."/>
      <w:lvlJc w:val="right"/>
      <w:pPr>
        <w:ind w:left="4680" w:hanging="180"/>
      </w:pPr>
    </w:lvl>
    <w:lvl w:ilvl="6" w:tplc="F910A1C8">
      <w:start w:val="1"/>
      <w:numFmt w:val="decimal"/>
      <w:lvlText w:val="%7."/>
      <w:lvlJc w:val="left"/>
      <w:pPr>
        <w:ind w:left="5400" w:hanging="360"/>
      </w:pPr>
    </w:lvl>
    <w:lvl w:ilvl="7" w:tplc="F5263BD6">
      <w:start w:val="1"/>
      <w:numFmt w:val="lowerLetter"/>
      <w:lvlText w:val="%8."/>
      <w:lvlJc w:val="left"/>
      <w:pPr>
        <w:ind w:left="6120" w:hanging="360"/>
      </w:pPr>
    </w:lvl>
    <w:lvl w:ilvl="8" w:tplc="DCFC6742">
      <w:start w:val="1"/>
      <w:numFmt w:val="lowerRoman"/>
      <w:lvlText w:val="%9."/>
      <w:lvlJc w:val="right"/>
      <w:pPr>
        <w:ind w:left="6840" w:hanging="180"/>
      </w:pPr>
    </w:lvl>
  </w:abstractNum>
  <w:abstractNum w:abstractNumId="32" w15:restartNumberingAfterBreak="0">
    <w:nsid w:val="7EA00E18"/>
    <w:multiLevelType w:val="hybridMultilevel"/>
    <w:tmpl w:val="A8C86978"/>
    <w:lvl w:ilvl="0" w:tplc="7C58BB5A">
      <w:start w:val="1"/>
      <w:numFmt w:val="decimal"/>
      <w:lvlText w:val="%1."/>
      <w:lvlJc w:val="left"/>
      <w:pPr>
        <w:ind w:left="720" w:hanging="360"/>
      </w:pPr>
    </w:lvl>
    <w:lvl w:ilvl="1" w:tplc="F978012E">
      <w:start w:val="1"/>
      <w:numFmt w:val="decimal"/>
      <w:lvlText w:val="%2."/>
      <w:lvlJc w:val="left"/>
      <w:pPr>
        <w:ind w:left="720" w:hanging="360"/>
      </w:pPr>
    </w:lvl>
    <w:lvl w:ilvl="2" w:tplc="C14AE550">
      <w:start w:val="1"/>
      <w:numFmt w:val="decimal"/>
      <w:lvlText w:val="%3."/>
      <w:lvlJc w:val="left"/>
      <w:pPr>
        <w:ind w:left="720" w:hanging="360"/>
      </w:pPr>
    </w:lvl>
    <w:lvl w:ilvl="3" w:tplc="F246126C">
      <w:start w:val="1"/>
      <w:numFmt w:val="decimal"/>
      <w:lvlText w:val="%4."/>
      <w:lvlJc w:val="left"/>
      <w:pPr>
        <w:ind w:left="720" w:hanging="360"/>
      </w:pPr>
    </w:lvl>
    <w:lvl w:ilvl="4" w:tplc="29307094">
      <w:start w:val="1"/>
      <w:numFmt w:val="decimal"/>
      <w:lvlText w:val="%5."/>
      <w:lvlJc w:val="left"/>
      <w:pPr>
        <w:ind w:left="720" w:hanging="360"/>
      </w:pPr>
    </w:lvl>
    <w:lvl w:ilvl="5" w:tplc="51C2F52E">
      <w:start w:val="1"/>
      <w:numFmt w:val="decimal"/>
      <w:lvlText w:val="%6."/>
      <w:lvlJc w:val="left"/>
      <w:pPr>
        <w:ind w:left="720" w:hanging="360"/>
      </w:pPr>
    </w:lvl>
    <w:lvl w:ilvl="6" w:tplc="9656DCAA">
      <w:start w:val="1"/>
      <w:numFmt w:val="decimal"/>
      <w:lvlText w:val="%7."/>
      <w:lvlJc w:val="left"/>
      <w:pPr>
        <w:ind w:left="720" w:hanging="360"/>
      </w:pPr>
    </w:lvl>
    <w:lvl w:ilvl="7" w:tplc="2394587E">
      <w:start w:val="1"/>
      <w:numFmt w:val="decimal"/>
      <w:lvlText w:val="%8."/>
      <w:lvlJc w:val="left"/>
      <w:pPr>
        <w:ind w:left="720" w:hanging="360"/>
      </w:pPr>
    </w:lvl>
    <w:lvl w:ilvl="8" w:tplc="51F6CB46">
      <w:start w:val="1"/>
      <w:numFmt w:val="decimal"/>
      <w:lvlText w:val="%9."/>
      <w:lvlJc w:val="left"/>
      <w:pPr>
        <w:ind w:left="720" w:hanging="360"/>
      </w:pPr>
    </w:lvl>
  </w:abstractNum>
  <w:num w:numId="1" w16cid:durableId="115147429">
    <w:abstractNumId w:val="0"/>
  </w:num>
  <w:num w:numId="2" w16cid:durableId="1371343000">
    <w:abstractNumId w:val="16"/>
  </w:num>
  <w:num w:numId="3" w16cid:durableId="404500726">
    <w:abstractNumId w:val="24"/>
  </w:num>
  <w:num w:numId="4" w16cid:durableId="1597639033">
    <w:abstractNumId w:val="8"/>
  </w:num>
  <w:num w:numId="5" w16cid:durableId="982810257">
    <w:abstractNumId w:val="22"/>
  </w:num>
  <w:num w:numId="6" w16cid:durableId="1525439643">
    <w:abstractNumId w:val="17"/>
  </w:num>
  <w:num w:numId="7" w16cid:durableId="2028217487">
    <w:abstractNumId w:val="7"/>
  </w:num>
  <w:num w:numId="8" w16cid:durableId="1729107913">
    <w:abstractNumId w:val="10"/>
  </w:num>
  <w:num w:numId="9" w16cid:durableId="1392004117">
    <w:abstractNumId w:val="11"/>
  </w:num>
  <w:num w:numId="10" w16cid:durableId="1398936496">
    <w:abstractNumId w:val="25"/>
  </w:num>
  <w:num w:numId="11" w16cid:durableId="726607346">
    <w:abstractNumId w:val="12"/>
  </w:num>
  <w:num w:numId="12" w16cid:durableId="1805001359">
    <w:abstractNumId w:val="27"/>
  </w:num>
  <w:num w:numId="13" w16cid:durableId="1136990794">
    <w:abstractNumId w:val="3"/>
  </w:num>
  <w:num w:numId="14" w16cid:durableId="1911571452">
    <w:abstractNumId w:val="20"/>
  </w:num>
  <w:num w:numId="15" w16cid:durableId="1580019605">
    <w:abstractNumId w:val="29"/>
  </w:num>
  <w:num w:numId="16" w16cid:durableId="1514608165">
    <w:abstractNumId w:val="32"/>
  </w:num>
  <w:num w:numId="17" w16cid:durableId="7027467">
    <w:abstractNumId w:val="13"/>
  </w:num>
  <w:num w:numId="18" w16cid:durableId="1711564898">
    <w:abstractNumId w:val="14"/>
  </w:num>
  <w:num w:numId="19" w16cid:durableId="18357107">
    <w:abstractNumId w:val="30"/>
  </w:num>
  <w:num w:numId="20" w16cid:durableId="1298218799">
    <w:abstractNumId w:val="21"/>
  </w:num>
  <w:num w:numId="21" w16cid:durableId="1913390171">
    <w:abstractNumId w:val="6"/>
  </w:num>
  <w:num w:numId="22" w16cid:durableId="702437739">
    <w:abstractNumId w:val="28"/>
  </w:num>
  <w:num w:numId="23" w16cid:durableId="1300113025">
    <w:abstractNumId w:val="15"/>
  </w:num>
  <w:num w:numId="24" w16cid:durableId="1602376445">
    <w:abstractNumId w:val="31"/>
  </w:num>
  <w:num w:numId="25" w16cid:durableId="2065134228">
    <w:abstractNumId w:val="19"/>
  </w:num>
  <w:num w:numId="26" w16cid:durableId="162598713">
    <w:abstractNumId w:val="26"/>
  </w:num>
  <w:num w:numId="27" w16cid:durableId="450440673">
    <w:abstractNumId w:val="1"/>
  </w:num>
  <w:num w:numId="28" w16cid:durableId="513156700">
    <w:abstractNumId w:val="23"/>
  </w:num>
  <w:num w:numId="29" w16cid:durableId="244384088">
    <w:abstractNumId w:val="2"/>
  </w:num>
  <w:num w:numId="30" w16cid:durableId="2118481577">
    <w:abstractNumId w:val="4"/>
  </w:num>
  <w:num w:numId="31" w16cid:durableId="955792617">
    <w:abstractNumId w:val="18"/>
  </w:num>
  <w:num w:numId="32" w16cid:durableId="1700735071">
    <w:abstractNumId w:val="9"/>
  </w:num>
  <w:num w:numId="33" w16cid:durableId="192761825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8D"/>
    <w:rsid w:val="00000BCE"/>
    <w:rsid w:val="000016E3"/>
    <w:rsid w:val="00001764"/>
    <w:rsid w:val="00001C37"/>
    <w:rsid w:val="00001E4F"/>
    <w:rsid w:val="00001FC0"/>
    <w:rsid w:val="00002185"/>
    <w:rsid w:val="00002304"/>
    <w:rsid w:val="000026DF"/>
    <w:rsid w:val="00002A14"/>
    <w:rsid w:val="00002B65"/>
    <w:rsid w:val="000032ED"/>
    <w:rsid w:val="000033AD"/>
    <w:rsid w:val="00003992"/>
    <w:rsid w:val="00003B2E"/>
    <w:rsid w:val="00005EA8"/>
    <w:rsid w:val="00006234"/>
    <w:rsid w:val="00006525"/>
    <w:rsid w:val="00006623"/>
    <w:rsid w:val="00006F53"/>
    <w:rsid w:val="00007A84"/>
    <w:rsid w:val="00007B88"/>
    <w:rsid w:val="00007D99"/>
    <w:rsid w:val="00007EDD"/>
    <w:rsid w:val="0000EBA1"/>
    <w:rsid w:val="00010BBD"/>
    <w:rsid w:val="00011109"/>
    <w:rsid w:val="0001110E"/>
    <w:rsid w:val="0001131E"/>
    <w:rsid w:val="00011595"/>
    <w:rsid w:val="000115DF"/>
    <w:rsid w:val="000116A9"/>
    <w:rsid w:val="00011D28"/>
    <w:rsid w:val="00011DC6"/>
    <w:rsid w:val="00011FF7"/>
    <w:rsid w:val="0001299F"/>
    <w:rsid w:val="00012A92"/>
    <w:rsid w:val="00012B6F"/>
    <w:rsid w:val="000134DA"/>
    <w:rsid w:val="00013AD0"/>
    <w:rsid w:val="0001447C"/>
    <w:rsid w:val="00015CAD"/>
    <w:rsid w:val="00016040"/>
    <w:rsid w:val="0001632A"/>
    <w:rsid w:val="00017149"/>
    <w:rsid w:val="000171A6"/>
    <w:rsid w:val="0002020F"/>
    <w:rsid w:val="00020395"/>
    <w:rsid w:val="00020952"/>
    <w:rsid w:val="000209F6"/>
    <w:rsid w:val="00020CD6"/>
    <w:rsid w:val="000217AC"/>
    <w:rsid w:val="00021820"/>
    <w:rsid w:val="000219C2"/>
    <w:rsid w:val="00022BD2"/>
    <w:rsid w:val="00023429"/>
    <w:rsid w:val="00023B2F"/>
    <w:rsid w:val="00024849"/>
    <w:rsid w:val="000249B1"/>
    <w:rsid w:val="00024E19"/>
    <w:rsid w:val="0002542D"/>
    <w:rsid w:val="00025B34"/>
    <w:rsid w:val="00026163"/>
    <w:rsid w:val="000262E1"/>
    <w:rsid w:val="0002637C"/>
    <w:rsid w:val="0002773E"/>
    <w:rsid w:val="00031129"/>
    <w:rsid w:val="0003161E"/>
    <w:rsid w:val="000316C2"/>
    <w:rsid w:val="00031794"/>
    <w:rsid w:val="00031D60"/>
    <w:rsid w:val="00032B81"/>
    <w:rsid w:val="00032E31"/>
    <w:rsid w:val="0003399F"/>
    <w:rsid w:val="00033A31"/>
    <w:rsid w:val="00033C1C"/>
    <w:rsid w:val="00034428"/>
    <w:rsid w:val="00035055"/>
    <w:rsid w:val="000357A9"/>
    <w:rsid w:val="000372FE"/>
    <w:rsid w:val="0003760F"/>
    <w:rsid w:val="00037A23"/>
    <w:rsid w:val="000404C0"/>
    <w:rsid w:val="00040C6E"/>
    <w:rsid w:val="0004115D"/>
    <w:rsid w:val="00042506"/>
    <w:rsid w:val="000434E6"/>
    <w:rsid w:val="00043638"/>
    <w:rsid w:val="000436C5"/>
    <w:rsid w:val="000436EF"/>
    <w:rsid w:val="00043A9D"/>
    <w:rsid w:val="00043F6F"/>
    <w:rsid w:val="0004576F"/>
    <w:rsid w:val="00045A53"/>
    <w:rsid w:val="00045B04"/>
    <w:rsid w:val="00046F45"/>
    <w:rsid w:val="0004767F"/>
    <w:rsid w:val="0004781E"/>
    <w:rsid w:val="00050378"/>
    <w:rsid w:val="00051380"/>
    <w:rsid w:val="000514FC"/>
    <w:rsid w:val="00051721"/>
    <w:rsid w:val="0005198B"/>
    <w:rsid w:val="00051CE8"/>
    <w:rsid w:val="000520B4"/>
    <w:rsid w:val="000526ED"/>
    <w:rsid w:val="00052B65"/>
    <w:rsid w:val="0005315E"/>
    <w:rsid w:val="00053FF4"/>
    <w:rsid w:val="00054AC8"/>
    <w:rsid w:val="00055328"/>
    <w:rsid w:val="00055924"/>
    <w:rsid w:val="00055D5C"/>
    <w:rsid w:val="00055D81"/>
    <w:rsid w:val="00056085"/>
    <w:rsid w:val="000561F3"/>
    <w:rsid w:val="000565DA"/>
    <w:rsid w:val="00060A1E"/>
    <w:rsid w:val="00061954"/>
    <w:rsid w:val="00061DC5"/>
    <w:rsid w:val="00062064"/>
    <w:rsid w:val="000622A9"/>
    <w:rsid w:val="000625D8"/>
    <w:rsid w:val="00062737"/>
    <w:rsid w:val="00062751"/>
    <w:rsid w:val="0006291A"/>
    <w:rsid w:val="0006307F"/>
    <w:rsid w:val="000639AB"/>
    <w:rsid w:val="00064E4C"/>
    <w:rsid w:val="00064E58"/>
    <w:rsid w:val="000655F5"/>
    <w:rsid w:val="00065763"/>
    <w:rsid w:val="000662DF"/>
    <w:rsid w:val="0006642F"/>
    <w:rsid w:val="00066D49"/>
    <w:rsid w:val="00067C57"/>
    <w:rsid w:val="0007074D"/>
    <w:rsid w:val="00070885"/>
    <w:rsid w:val="000709ED"/>
    <w:rsid w:val="00070BB4"/>
    <w:rsid w:val="0007119E"/>
    <w:rsid w:val="00071AD5"/>
    <w:rsid w:val="000723E0"/>
    <w:rsid w:val="000725BD"/>
    <w:rsid w:val="00072A95"/>
    <w:rsid w:val="00072B72"/>
    <w:rsid w:val="00072DFE"/>
    <w:rsid w:val="0007346E"/>
    <w:rsid w:val="0007361C"/>
    <w:rsid w:val="00073731"/>
    <w:rsid w:val="00074DC2"/>
    <w:rsid w:val="000754E5"/>
    <w:rsid w:val="00075E7E"/>
    <w:rsid w:val="00076BDF"/>
    <w:rsid w:val="00076D81"/>
    <w:rsid w:val="0007725E"/>
    <w:rsid w:val="000779FB"/>
    <w:rsid w:val="00077EA5"/>
    <w:rsid w:val="000801B3"/>
    <w:rsid w:val="00080360"/>
    <w:rsid w:val="00080B79"/>
    <w:rsid w:val="00080CD5"/>
    <w:rsid w:val="00080CF6"/>
    <w:rsid w:val="00080E02"/>
    <w:rsid w:val="0008154A"/>
    <w:rsid w:val="00081669"/>
    <w:rsid w:val="00081795"/>
    <w:rsid w:val="0008248B"/>
    <w:rsid w:val="00082B4C"/>
    <w:rsid w:val="00083332"/>
    <w:rsid w:val="00083471"/>
    <w:rsid w:val="000838D8"/>
    <w:rsid w:val="00083A3B"/>
    <w:rsid w:val="00083AA6"/>
    <w:rsid w:val="00083C68"/>
    <w:rsid w:val="00084EBB"/>
    <w:rsid w:val="00085E35"/>
    <w:rsid w:val="000871CA"/>
    <w:rsid w:val="00087587"/>
    <w:rsid w:val="0008779F"/>
    <w:rsid w:val="000901C7"/>
    <w:rsid w:val="00090B4D"/>
    <w:rsid w:val="00090D72"/>
    <w:rsid w:val="000910E0"/>
    <w:rsid w:val="00091C3C"/>
    <w:rsid w:val="00091E14"/>
    <w:rsid w:val="00092975"/>
    <w:rsid w:val="00092D6A"/>
    <w:rsid w:val="00092EB7"/>
    <w:rsid w:val="00093262"/>
    <w:rsid w:val="000939C2"/>
    <w:rsid w:val="00094027"/>
    <w:rsid w:val="000944D6"/>
    <w:rsid w:val="00094854"/>
    <w:rsid w:val="00095930"/>
    <w:rsid w:val="00095BE0"/>
    <w:rsid w:val="00095F85"/>
    <w:rsid w:val="0009663F"/>
    <w:rsid w:val="00096711"/>
    <w:rsid w:val="00096796"/>
    <w:rsid w:val="00096CEF"/>
    <w:rsid w:val="00096E60"/>
    <w:rsid w:val="00097035"/>
    <w:rsid w:val="00097DA0"/>
    <w:rsid w:val="000A01C0"/>
    <w:rsid w:val="000A0B55"/>
    <w:rsid w:val="000A110C"/>
    <w:rsid w:val="000A216E"/>
    <w:rsid w:val="000A21C3"/>
    <w:rsid w:val="000A22CF"/>
    <w:rsid w:val="000A255A"/>
    <w:rsid w:val="000A314E"/>
    <w:rsid w:val="000A32B1"/>
    <w:rsid w:val="000A3DB2"/>
    <w:rsid w:val="000A40FD"/>
    <w:rsid w:val="000A55C8"/>
    <w:rsid w:val="000A55DF"/>
    <w:rsid w:val="000A58CC"/>
    <w:rsid w:val="000A6CB7"/>
    <w:rsid w:val="000A737C"/>
    <w:rsid w:val="000A74BE"/>
    <w:rsid w:val="000A7A64"/>
    <w:rsid w:val="000B0CC0"/>
    <w:rsid w:val="000B10CA"/>
    <w:rsid w:val="000B14CF"/>
    <w:rsid w:val="000B14F7"/>
    <w:rsid w:val="000B166D"/>
    <w:rsid w:val="000B2DAA"/>
    <w:rsid w:val="000B2E8C"/>
    <w:rsid w:val="000B4252"/>
    <w:rsid w:val="000B4C48"/>
    <w:rsid w:val="000B5528"/>
    <w:rsid w:val="000B6389"/>
    <w:rsid w:val="000B6730"/>
    <w:rsid w:val="000B68D6"/>
    <w:rsid w:val="000C0186"/>
    <w:rsid w:val="000C0CD0"/>
    <w:rsid w:val="000C134B"/>
    <w:rsid w:val="000C17BC"/>
    <w:rsid w:val="000C1886"/>
    <w:rsid w:val="000C1FCE"/>
    <w:rsid w:val="000C235F"/>
    <w:rsid w:val="000C2D1A"/>
    <w:rsid w:val="000C3466"/>
    <w:rsid w:val="000C38D0"/>
    <w:rsid w:val="000C3923"/>
    <w:rsid w:val="000C3A19"/>
    <w:rsid w:val="000C3F32"/>
    <w:rsid w:val="000C414D"/>
    <w:rsid w:val="000C48E6"/>
    <w:rsid w:val="000C48FC"/>
    <w:rsid w:val="000C4ADE"/>
    <w:rsid w:val="000C5868"/>
    <w:rsid w:val="000C593E"/>
    <w:rsid w:val="000C5992"/>
    <w:rsid w:val="000C5C14"/>
    <w:rsid w:val="000C60EC"/>
    <w:rsid w:val="000C6B9E"/>
    <w:rsid w:val="000C7535"/>
    <w:rsid w:val="000C79ED"/>
    <w:rsid w:val="000C7A9D"/>
    <w:rsid w:val="000C7C7F"/>
    <w:rsid w:val="000D0115"/>
    <w:rsid w:val="000D027F"/>
    <w:rsid w:val="000D0A7B"/>
    <w:rsid w:val="000D0C7F"/>
    <w:rsid w:val="000D1242"/>
    <w:rsid w:val="000D139C"/>
    <w:rsid w:val="000D1CAC"/>
    <w:rsid w:val="000D1E1E"/>
    <w:rsid w:val="000D266F"/>
    <w:rsid w:val="000D2B9C"/>
    <w:rsid w:val="000D32B7"/>
    <w:rsid w:val="000D44D2"/>
    <w:rsid w:val="000D4597"/>
    <w:rsid w:val="000D465E"/>
    <w:rsid w:val="000D49B6"/>
    <w:rsid w:val="000D557B"/>
    <w:rsid w:val="000D5982"/>
    <w:rsid w:val="000D5AB8"/>
    <w:rsid w:val="000D5AC3"/>
    <w:rsid w:val="000D5D57"/>
    <w:rsid w:val="000D6288"/>
    <w:rsid w:val="000D648C"/>
    <w:rsid w:val="000D73EA"/>
    <w:rsid w:val="000D7446"/>
    <w:rsid w:val="000D7F08"/>
    <w:rsid w:val="000D7F8D"/>
    <w:rsid w:val="000E01D4"/>
    <w:rsid w:val="000E118A"/>
    <w:rsid w:val="000E1C61"/>
    <w:rsid w:val="000E1C89"/>
    <w:rsid w:val="000E2AA7"/>
    <w:rsid w:val="000E3072"/>
    <w:rsid w:val="000E3204"/>
    <w:rsid w:val="000E3312"/>
    <w:rsid w:val="000E36B8"/>
    <w:rsid w:val="000E39F7"/>
    <w:rsid w:val="000E3A97"/>
    <w:rsid w:val="000E3FD1"/>
    <w:rsid w:val="000E4AA5"/>
    <w:rsid w:val="000E4CDD"/>
    <w:rsid w:val="000E5061"/>
    <w:rsid w:val="000E5363"/>
    <w:rsid w:val="000E54B2"/>
    <w:rsid w:val="000E601F"/>
    <w:rsid w:val="000E63B3"/>
    <w:rsid w:val="000E6594"/>
    <w:rsid w:val="000E67BC"/>
    <w:rsid w:val="000E68ED"/>
    <w:rsid w:val="000E7553"/>
    <w:rsid w:val="000E7C49"/>
    <w:rsid w:val="000E7DC5"/>
    <w:rsid w:val="000F0F3F"/>
    <w:rsid w:val="000F0F7C"/>
    <w:rsid w:val="000F116F"/>
    <w:rsid w:val="000F1BD9"/>
    <w:rsid w:val="000F1ECE"/>
    <w:rsid w:val="000F20B3"/>
    <w:rsid w:val="000F22C1"/>
    <w:rsid w:val="000F24E9"/>
    <w:rsid w:val="000F4740"/>
    <w:rsid w:val="000F4DC5"/>
    <w:rsid w:val="000F4F85"/>
    <w:rsid w:val="000F5F11"/>
    <w:rsid w:val="000F5F58"/>
    <w:rsid w:val="000F5FCA"/>
    <w:rsid w:val="000F6015"/>
    <w:rsid w:val="000F6426"/>
    <w:rsid w:val="000F64EC"/>
    <w:rsid w:val="000F6905"/>
    <w:rsid w:val="000F6A63"/>
    <w:rsid w:val="000F7017"/>
    <w:rsid w:val="000F7331"/>
    <w:rsid w:val="000F7556"/>
    <w:rsid w:val="000F779F"/>
    <w:rsid w:val="000F79EF"/>
    <w:rsid w:val="0010053A"/>
    <w:rsid w:val="00100CEF"/>
    <w:rsid w:val="00101303"/>
    <w:rsid w:val="00101956"/>
    <w:rsid w:val="00101F23"/>
    <w:rsid w:val="0010216B"/>
    <w:rsid w:val="001021AF"/>
    <w:rsid w:val="00102886"/>
    <w:rsid w:val="00103546"/>
    <w:rsid w:val="00103AD4"/>
    <w:rsid w:val="001048AD"/>
    <w:rsid w:val="00104AF6"/>
    <w:rsid w:val="001051AA"/>
    <w:rsid w:val="00105B99"/>
    <w:rsid w:val="00106034"/>
    <w:rsid w:val="001062FE"/>
    <w:rsid w:val="00106CA5"/>
    <w:rsid w:val="001071AF"/>
    <w:rsid w:val="001073A3"/>
    <w:rsid w:val="00107CF9"/>
    <w:rsid w:val="00107D61"/>
    <w:rsid w:val="001103BE"/>
    <w:rsid w:val="00110E53"/>
    <w:rsid w:val="00111DCB"/>
    <w:rsid w:val="00111E01"/>
    <w:rsid w:val="0011247A"/>
    <w:rsid w:val="001127D7"/>
    <w:rsid w:val="00112921"/>
    <w:rsid w:val="0011299A"/>
    <w:rsid w:val="00112C33"/>
    <w:rsid w:val="0011323C"/>
    <w:rsid w:val="00113B78"/>
    <w:rsid w:val="00113F16"/>
    <w:rsid w:val="001140FF"/>
    <w:rsid w:val="00114CB7"/>
    <w:rsid w:val="00114DBA"/>
    <w:rsid w:val="0011581F"/>
    <w:rsid w:val="00115957"/>
    <w:rsid w:val="0011601A"/>
    <w:rsid w:val="001161DB"/>
    <w:rsid w:val="001170D9"/>
    <w:rsid w:val="001175CC"/>
    <w:rsid w:val="001177CA"/>
    <w:rsid w:val="00117AAA"/>
    <w:rsid w:val="0012029B"/>
    <w:rsid w:val="0012095C"/>
    <w:rsid w:val="001209C8"/>
    <w:rsid w:val="001209DF"/>
    <w:rsid w:val="001214A1"/>
    <w:rsid w:val="00121B73"/>
    <w:rsid w:val="00121F4E"/>
    <w:rsid w:val="00122897"/>
    <w:rsid w:val="00122C47"/>
    <w:rsid w:val="00122ED5"/>
    <w:rsid w:val="00122FB2"/>
    <w:rsid w:val="0012305B"/>
    <w:rsid w:val="0012396F"/>
    <w:rsid w:val="001241DB"/>
    <w:rsid w:val="00124525"/>
    <w:rsid w:val="00124D1F"/>
    <w:rsid w:val="00125746"/>
    <w:rsid w:val="00125DE7"/>
    <w:rsid w:val="001263E3"/>
    <w:rsid w:val="001269EE"/>
    <w:rsid w:val="00126C56"/>
    <w:rsid w:val="0013067C"/>
    <w:rsid w:val="00131836"/>
    <w:rsid w:val="00131C64"/>
    <w:rsid w:val="00132079"/>
    <w:rsid w:val="001320AA"/>
    <w:rsid w:val="00132439"/>
    <w:rsid w:val="0013243E"/>
    <w:rsid w:val="00133240"/>
    <w:rsid w:val="00133A63"/>
    <w:rsid w:val="00133AD1"/>
    <w:rsid w:val="00133C64"/>
    <w:rsid w:val="0013418F"/>
    <w:rsid w:val="001344CD"/>
    <w:rsid w:val="00134AEC"/>
    <w:rsid w:val="00134C84"/>
    <w:rsid w:val="00134D84"/>
    <w:rsid w:val="00135215"/>
    <w:rsid w:val="001354C1"/>
    <w:rsid w:val="00135719"/>
    <w:rsid w:val="00135A13"/>
    <w:rsid w:val="00136AF6"/>
    <w:rsid w:val="00137105"/>
    <w:rsid w:val="00137141"/>
    <w:rsid w:val="001378B8"/>
    <w:rsid w:val="00137B92"/>
    <w:rsid w:val="00140179"/>
    <w:rsid w:val="001408D9"/>
    <w:rsid w:val="0014127A"/>
    <w:rsid w:val="001415EB"/>
    <w:rsid w:val="00141D82"/>
    <w:rsid w:val="001422E7"/>
    <w:rsid w:val="00142BD3"/>
    <w:rsid w:val="00142DA6"/>
    <w:rsid w:val="0014375F"/>
    <w:rsid w:val="00143B5E"/>
    <w:rsid w:val="001443B9"/>
    <w:rsid w:val="0014459D"/>
    <w:rsid w:val="00144D8D"/>
    <w:rsid w:val="00144EE6"/>
    <w:rsid w:val="001450EB"/>
    <w:rsid w:val="0014581E"/>
    <w:rsid w:val="00145BB2"/>
    <w:rsid w:val="00146446"/>
    <w:rsid w:val="0014659D"/>
    <w:rsid w:val="001467E8"/>
    <w:rsid w:val="00147DAE"/>
    <w:rsid w:val="00147DD2"/>
    <w:rsid w:val="00147EDA"/>
    <w:rsid w:val="001505E7"/>
    <w:rsid w:val="00150A80"/>
    <w:rsid w:val="00152611"/>
    <w:rsid w:val="001526D6"/>
    <w:rsid w:val="00152D47"/>
    <w:rsid w:val="00153427"/>
    <w:rsid w:val="001538E3"/>
    <w:rsid w:val="00153A44"/>
    <w:rsid w:val="00154501"/>
    <w:rsid w:val="00154D09"/>
    <w:rsid w:val="001550F8"/>
    <w:rsid w:val="00155245"/>
    <w:rsid w:val="00155EA3"/>
    <w:rsid w:val="001560BC"/>
    <w:rsid w:val="001569DC"/>
    <w:rsid w:val="00156D4A"/>
    <w:rsid w:val="00157A4B"/>
    <w:rsid w:val="00160702"/>
    <w:rsid w:val="00160AB3"/>
    <w:rsid w:val="00160C67"/>
    <w:rsid w:val="00160C9A"/>
    <w:rsid w:val="00160F28"/>
    <w:rsid w:val="00161473"/>
    <w:rsid w:val="001614F7"/>
    <w:rsid w:val="00161513"/>
    <w:rsid w:val="001623B6"/>
    <w:rsid w:val="00162EBC"/>
    <w:rsid w:val="001632E7"/>
    <w:rsid w:val="001634DF"/>
    <w:rsid w:val="00164995"/>
    <w:rsid w:val="00164B8F"/>
    <w:rsid w:val="00164D89"/>
    <w:rsid w:val="00165512"/>
    <w:rsid w:val="001660E0"/>
    <w:rsid w:val="00166652"/>
    <w:rsid w:val="001671BA"/>
    <w:rsid w:val="00167B03"/>
    <w:rsid w:val="001701EF"/>
    <w:rsid w:val="0017074C"/>
    <w:rsid w:val="001711AB"/>
    <w:rsid w:val="00171351"/>
    <w:rsid w:val="001719FB"/>
    <w:rsid w:val="0017249C"/>
    <w:rsid w:val="00173305"/>
    <w:rsid w:val="00173C5E"/>
    <w:rsid w:val="0017454D"/>
    <w:rsid w:val="00174BC0"/>
    <w:rsid w:val="00174C9F"/>
    <w:rsid w:val="00174CB2"/>
    <w:rsid w:val="00175F33"/>
    <w:rsid w:val="0017609A"/>
    <w:rsid w:val="001760D6"/>
    <w:rsid w:val="0017659C"/>
    <w:rsid w:val="0017750C"/>
    <w:rsid w:val="0017757F"/>
    <w:rsid w:val="00180057"/>
    <w:rsid w:val="0018015C"/>
    <w:rsid w:val="00180555"/>
    <w:rsid w:val="00180637"/>
    <w:rsid w:val="00180712"/>
    <w:rsid w:val="001808E8"/>
    <w:rsid w:val="00180B1F"/>
    <w:rsid w:val="00180E4B"/>
    <w:rsid w:val="00181A75"/>
    <w:rsid w:val="0018222F"/>
    <w:rsid w:val="0018292F"/>
    <w:rsid w:val="00182959"/>
    <w:rsid w:val="001829DA"/>
    <w:rsid w:val="00182B73"/>
    <w:rsid w:val="00183804"/>
    <w:rsid w:val="0018380F"/>
    <w:rsid w:val="00183C9D"/>
    <w:rsid w:val="001841E7"/>
    <w:rsid w:val="00184B13"/>
    <w:rsid w:val="00184DC4"/>
    <w:rsid w:val="00185383"/>
    <w:rsid w:val="0018554C"/>
    <w:rsid w:val="0018620A"/>
    <w:rsid w:val="0018652B"/>
    <w:rsid w:val="0018674E"/>
    <w:rsid w:val="00190367"/>
    <w:rsid w:val="00190AFD"/>
    <w:rsid w:val="00190F2E"/>
    <w:rsid w:val="001915B6"/>
    <w:rsid w:val="00191C4A"/>
    <w:rsid w:val="00191D72"/>
    <w:rsid w:val="00192361"/>
    <w:rsid w:val="00192630"/>
    <w:rsid w:val="00192637"/>
    <w:rsid w:val="00192B05"/>
    <w:rsid w:val="00192DD7"/>
    <w:rsid w:val="00193061"/>
    <w:rsid w:val="00193137"/>
    <w:rsid w:val="00193171"/>
    <w:rsid w:val="00193667"/>
    <w:rsid w:val="00193BAB"/>
    <w:rsid w:val="00194A5A"/>
    <w:rsid w:val="0019578F"/>
    <w:rsid w:val="001959BF"/>
    <w:rsid w:val="00195A13"/>
    <w:rsid w:val="00195CAC"/>
    <w:rsid w:val="00196A40"/>
    <w:rsid w:val="00197947"/>
    <w:rsid w:val="00197A3E"/>
    <w:rsid w:val="00197A7F"/>
    <w:rsid w:val="00197E60"/>
    <w:rsid w:val="00197FBB"/>
    <w:rsid w:val="001A050E"/>
    <w:rsid w:val="001A0A39"/>
    <w:rsid w:val="001A0C9E"/>
    <w:rsid w:val="001A0FD5"/>
    <w:rsid w:val="001A1121"/>
    <w:rsid w:val="001A131C"/>
    <w:rsid w:val="001A14A3"/>
    <w:rsid w:val="001A186C"/>
    <w:rsid w:val="001A202B"/>
    <w:rsid w:val="001A251C"/>
    <w:rsid w:val="001A2582"/>
    <w:rsid w:val="001A4645"/>
    <w:rsid w:val="001A583E"/>
    <w:rsid w:val="001A5973"/>
    <w:rsid w:val="001A5B3F"/>
    <w:rsid w:val="001A6739"/>
    <w:rsid w:val="001A73EB"/>
    <w:rsid w:val="001A7841"/>
    <w:rsid w:val="001A7C56"/>
    <w:rsid w:val="001B0393"/>
    <w:rsid w:val="001B05C6"/>
    <w:rsid w:val="001B0BBE"/>
    <w:rsid w:val="001B0CAB"/>
    <w:rsid w:val="001B131D"/>
    <w:rsid w:val="001B13C9"/>
    <w:rsid w:val="001B1777"/>
    <w:rsid w:val="001B1BC9"/>
    <w:rsid w:val="001B21F0"/>
    <w:rsid w:val="001B224C"/>
    <w:rsid w:val="001B244E"/>
    <w:rsid w:val="001B27AB"/>
    <w:rsid w:val="001B281D"/>
    <w:rsid w:val="001B2B88"/>
    <w:rsid w:val="001B2D98"/>
    <w:rsid w:val="001B2DAC"/>
    <w:rsid w:val="001B44DF"/>
    <w:rsid w:val="001B469A"/>
    <w:rsid w:val="001B4EB7"/>
    <w:rsid w:val="001B5378"/>
    <w:rsid w:val="001B60AA"/>
    <w:rsid w:val="001B62AE"/>
    <w:rsid w:val="001B6EFB"/>
    <w:rsid w:val="001B73FD"/>
    <w:rsid w:val="001B79CD"/>
    <w:rsid w:val="001B7E4C"/>
    <w:rsid w:val="001B7EF8"/>
    <w:rsid w:val="001C0021"/>
    <w:rsid w:val="001C059D"/>
    <w:rsid w:val="001C07FA"/>
    <w:rsid w:val="001C0A65"/>
    <w:rsid w:val="001C0B23"/>
    <w:rsid w:val="001C127B"/>
    <w:rsid w:val="001C1377"/>
    <w:rsid w:val="001C14EA"/>
    <w:rsid w:val="001C281C"/>
    <w:rsid w:val="001C2895"/>
    <w:rsid w:val="001C31C5"/>
    <w:rsid w:val="001C3C0A"/>
    <w:rsid w:val="001C497B"/>
    <w:rsid w:val="001C49B1"/>
    <w:rsid w:val="001C5435"/>
    <w:rsid w:val="001C57D6"/>
    <w:rsid w:val="001C5851"/>
    <w:rsid w:val="001C5BB4"/>
    <w:rsid w:val="001C5D28"/>
    <w:rsid w:val="001C5E4B"/>
    <w:rsid w:val="001C6103"/>
    <w:rsid w:val="001C625B"/>
    <w:rsid w:val="001C65BC"/>
    <w:rsid w:val="001C68EC"/>
    <w:rsid w:val="001C6C13"/>
    <w:rsid w:val="001C70C7"/>
    <w:rsid w:val="001C7174"/>
    <w:rsid w:val="001C72C2"/>
    <w:rsid w:val="001C73CA"/>
    <w:rsid w:val="001C7CD0"/>
    <w:rsid w:val="001C7E16"/>
    <w:rsid w:val="001D0B59"/>
    <w:rsid w:val="001D0C1B"/>
    <w:rsid w:val="001D0C47"/>
    <w:rsid w:val="001D0C82"/>
    <w:rsid w:val="001D23BA"/>
    <w:rsid w:val="001D2970"/>
    <w:rsid w:val="001D2D09"/>
    <w:rsid w:val="001D3765"/>
    <w:rsid w:val="001D3772"/>
    <w:rsid w:val="001D44D2"/>
    <w:rsid w:val="001D487E"/>
    <w:rsid w:val="001D520C"/>
    <w:rsid w:val="001D5616"/>
    <w:rsid w:val="001D579B"/>
    <w:rsid w:val="001D6AD5"/>
    <w:rsid w:val="001D6B9D"/>
    <w:rsid w:val="001D6EE3"/>
    <w:rsid w:val="001D7537"/>
    <w:rsid w:val="001D7881"/>
    <w:rsid w:val="001D78A2"/>
    <w:rsid w:val="001D79EB"/>
    <w:rsid w:val="001E03CA"/>
    <w:rsid w:val="001E0487"/>
    <w:rsid w:val="001E04FD"/>
    <w:rsid w:val="001E054A"/>
    <w:rsid w:val="001E05E7"/>
    <w:rsid w:val="001E0BBF"/>
    <w:rsid w:val="001E0DD0"/>
    <w:rsid w:val="001E1316"/>
    <w:rsid w:val="001E15A8"/>
    <w:rsid w:val="001E26F1"/>
    <w:rsid w:val="001E2A3D"/>
    <w:rsid w:val="001E3FE8"/>
    <w:rsid w:val="001E4256"/>
    <w:rsid w:val="001E4B44"/>
    <w:rsid w:val="001E5529"/>
    <w:rsid w:val="001E5D3B"/>
    <w:rsid w:val="001E5F43"/>
    <w:rsid w:val="001E5F64"/>
    <w:rsid w:val="001F0836"/>
    <w:rsid w:val="001F0C46"/>
    <w:rsid w:val="001F147B"/>
    <w:rsid w:val="001F14C3"/>
    <w:rsid w:val="001F15FC"/>
    <w:rsid w:val="001F16E8"/>
    <w:rsid w:val="001F2336"/>
    <w:rsid w:val="001F27E4"/>
    <w:rsid w:val="001F3328"/>
    <w:rsid w:val="001F3A7B"/>
    <w:rsid w:val="001F3DF5"/>
    <w:rsid w:val="001F407A"/>
    <w:rsid w:val="001F40DD"/>
    <w:rsid w:val="001F4C90"/>
    <w:rsid w:val="001F4FAD"/>
    <w:rsid w:val="001F53A3"/>
    <w:rsid w:val="001F6487"/>
    <w:rsid w:val="001F6BEE"/>
    <w:rsid w:val="001F6E9C"/>
    <w:rsid w:val="001F6FAD"/>
    <w:rsid w:val="001F7258"/>
    <w:rsid w:val="001F7A5B"/>
    <w:rsid w:val="00200010"/>
    <w:rsid w:val="0020047E"/>
    <w:rsid w:val="0020092D"/>
    <w:rsid w:val="00200F7D"/>
    <w:rsid w:val="0020146C"/>
    <w:rsid w:val="0020154E"/>
    <w:rsid w:val="00202800"/>
    <w:rsid w:val="00202A13"/>
    <w:rsid w:val="00202DF2"/>
    <w:rsid w:val="00203495"/>
    <w:rsid w:val="00203E9C"/>
    <w:rsid w:val="002052C1"/>
    <w:rsid w:val="002055F3"/>
    <w:rsid w:val="00205C77"/>
    <w:rsid w:val="00205E44"/>
    <w:rsid w:val="00206229"/>
    <w:rsid w:val="002070AA"/>
    <w:rsid w:val="002074E3"/>
    <w:rsid w:val="00207538"/>
    <w:rsid w:val="002075A3"/>
    <w:rsid w:val="00207F96"/>
    <w:rsid w:val="00210522"/>
    <w:rsid w:val="00211157"/>
    <w:rsid w:val="0021136F"/>
    <w:rsid w:val="002120C8"/>
    <w:rsid w:val="00212141"/>
    <w:rsid w:val="00212AE7"/>
    <w:rsid w:val="002134B2"/>
    <w:rsid w:val="002136C6"/>
    <w:rsid w:val="002138C6"/>
    <w:rsid w:val="00213986"/>
    <w:rsid w:val="00213E2D"/>
    <w:rsid w:val="00213F29"/>
    <w:rsid w:val="002142EB"/>
    <w:rsid w:val="0021440C"/>
    <w:rsid w:val="002145B6"/>
    <w:rsid w:val="00215036"/>
    <w:rsid w:val="0021536B"/>
    <w:rsid w:val="00216203"/>
    <w:rsid w:val="00216490"/>
    <w:rsid w:val="00217AF5"/>
    <w:rsid w:val="00217CD3"/>
    <w:rsid w:val="00220C9D"/>
    <w:rsid w:val="00221B1A"/>
    <w:rsid w:val="00221B66"/>
    <w:rsid w:val="00221EB1"/>
    <w:rsid w:val="002226CA"/>
    <w:rsid w:val="00222A93"/>
    <w:rsid w:val="00223200"/>
    <w:rsid w:val="00223944"/>
    <w:rsid w:val="00223C52"/>
    <w:rsid w:val="00224B0F"/>
    <w:rsid w:val="0022564A"/>
    <w:rsid w:val="00225712"/>
    <w:rsid w:val="0022581D"/>
    <w:rsid w:val="00226207"/>
    <w:rsid w:val="00226C64"/>
    <w:rsid w:val="002279F1"/>
    <w:rsid w:val="00227CB7"/>
    <w:rsid w:val="0023012F"/>
    <w:rsid w:val="0023084C"/>
    <w:rsid w:val="0023099E"/>
    <w:rsid w:val="00230ADA"/>
    <w:rsid w:val="00230E6D"/>
    <w:rsid w:val="002318C5"/>
    <w:rsid w:val="002319E3"/>
    <w:rsid w:val="00231A06"/>
    <w:rsid w:val="00231E65"/>
    <w:rsid w:val="00232301"/>
    <w:rsid w:val="0023259D"/>
    <w:rsid w:val="00232EA7"/>
    <w:rsid w:val="002331E8"/>
    <w:rsid w:val="00234A07"/>
    <w:rsid w:val="00235165"/>
    <w:rsid w:val="00235253"/>
    <w:rsid w:val="00235635"/>
    <w:rsid w:val="00235997"/>
    <w:rsid w:val="00236926"/>
    <w:rsid w:val="00236F5C"/>
    <w:rsid w:val="0023713F"/>
    <w:rsid w:val="00237189"/>
    <w:rsid w:val="0023749C"/>
    <w:rsid w:val="0024011F"/>
    <w:rsid w:val="0024086F"/>
    <w:rsid w:val="00241F1F"/>
    <w:rsid w:val="002423F1"/>
    <w:rsid w:val="00242C65"/>
    <w:rsid w:val="00243D02"/>
    <w:rsid w:val="00243D9D"/>
    <w:rsid w:val="00243FE7"/>
    <w:rsid w:val="00245ED1"/>
    <w:rsid w:val="00246954"/>
    <w:rsid w:val="00246F54"/>
    <w:rsid w:val="0024730C"/>
    <w:rsid w:val="00247526"/>
    <w:rsid w:val="002478D3"/>
    <w:rsid w:val="00247AB7"/>
    <w:rsid w:val="0025028D"/>
    <w:rsid w:val="00250372"/>
    <w:rsid w:val="002503EF"/>
    <w:rsid w:val="002507A3"/>
    <w:rsid w:val="00250B0E"/>
    <w:rsid w:val="00250DFD"/>
    <w:rsid w:val="00251406"/>
    <w:rsid w:val="00252741"/>
    <w:rsid w:val="00252CF5"/>
    <w:rsid w:val="002541AA"/>
    <w:rsid w:val="00254A78"/>
    <w:rsid w:val="00255094"/>
    <w:rsid w:val="00255DFD"/>
    <w:rsid w:val="002573D4"/>
    <w:rsid w:val="002604D8"/>
    <w:rsid w:val="002611A4"/>
    <w:rsid w:val="002611AF"/>
    <w:rsid w:val="0026157C"/>
    <w:rsid w:val="002615D3"/>
    <w:rsid w:val="00261709"/>
    <w:rsid w:val="00261978"/>
    <w:rsid w:val="002619E3"/>
    <w:rsid w:val="00262053"/>
    <w:rsid w:val="0026255A"/>
    <w:rsid w:val="00262564"/>
    <w:rsid w:val="00262862"/>
    <w:rsid w:val="00262D47"/>
    <w:rsid w:val="00263360"/>
    <w:rsid w:val="002634E1"/>
    <w:rsid w:val="00263CC3"/>
    <w:rsid w:val="002640CD"/>
    <w:rsid w:val="0026499C"/>
    <w:rsid w:val="00264DCC"/>
    <w:rsid w:val="00264FD8"/>
    <w:rsid w:val="0026628F"/>
    <w:rsid w:val="00266687"/>
    <w:rsid w:val="0026682F"/>
    <w:rsid w:val="00266FC8"/>
    <w:rsid w:val="00267942"/>
    <w:rsid w:val="00267C4E"/>
    <w:rsid w:val="002707F8"/>
    <w:rsid w:val="0027102F"/>
    <w:rsid w:val="00271506"/>
    <w:rsid w:val="0027156C"/>
    <w:rsid w:val="00271F93"/>
    <w:rsid w:val="00272BFB"/>
    <w:rsid w:val="00273736"/>
    <w:rsid w:val="00273799"/>
    <w:rsid w:val="00273C3A"/>
    <w:rsid w:val="00275049"/>
    <w:rsid w:val="00275FB1"/>
    <w:rsid w:val="0027668C"/>
    <w:rsid w:val="00276942"/>
    <w:rsid w:val="00276D98"/>
    <w:rsid w:val="00277DEF"/>
    <w:rsid w:val="00277E37"/>
    <w:rsid w:val="00280128"/>
    <w:rsid w:val="0028057F"/>
    <w:rsid w:val="00281701"/>
    <w:rsid w:val="002817D6"/>
    <w:rsid w:val="00281A46"/>
    <w:rsid w:val="00281B97"/>
    <w:rsid w:val="002826CF"/>
    <w:rsid w:val="00282707"/>
    <w:rsid w:val="00282B40"/>
    <w:rsid w:val="0028366E"/>
    <w:rsid w:val="0028406B"/>
    <w:rsid w:val="002845BC"/>
    <w:rsid w:val="00284C76"/>
    <w:rsid w:val="00285921"/>
    <w:rsid w:val="00286402"/>
    <w:rsid w:val="002865E1"/>
    <w:rsid w:val="00286BE4"/>
    <w:rsid w:val="00286C47"/>
    <w:rsid w:val="00287A5C"/>
    <w:rsid w:val="00290C5F"/>
    <w:rsid w:val="00290D6C"/>
    <w:rsid w:val="00291F6C"/>
    <w:rsid w:val="002920FD"/>
    <w:rsid w:val="0029288C"/>
    <w:rsid w:val="002930C2"/>
    <w:rsid w:val="002931DC"/>
    <w:rsid w:val="002938AF"/>
    <w:rsid w:val="00293F3F"/>
    <w:rsid w:val="0029451E"/>
    <w:rsid w:val="00294CE1"/>
    <w:rsid w:val="00294EAB"/>
    <w:rsid w:val="0029503B"/>
    <w:rsid w:val="0029504F"/>
    <w:rsid w:val="00296897"/>
    <w:rsid w:val="002970B5"/>
    <w:rsid w:val="0029763C"/>
    <w:rsid w:val="002A0374"/>
    <w:rsid w:val="002A131C"/>
    <w:rsid w:val="002A1490"/>
    <w:rsid w:val="002A1D1E"/>
    <w:rsid w:val="002A1DB9"/>
    <w:rsid w:val="002A1F15"/>
    <w:rsid w:val="002A262F"/>
    <w:rsid w:val="002A34B8"/>
    <w:rsid w:val="002A3A16"/>
    <w:rsid w:val="002A3BAC"/>
    <w:rsid w:val="002A4209"/>
    <w:rsid w:val="002A425F"/>
    <w:rsid w:val="002A4858"/>
    <w:rsid w:val="002A4E4F"/>
    <w:rsid w:val="002A50F5"/>
    <w:rsid w:val="002A64A8"/>
    <w:rsid w:val="002A7445"/>
    <w:rsid w:val="002A7C44"/>
    <w:rsid w:val="002B0039"/>
    <w:rsid w:val="002B079F"/>
    <w:rsid w:val="002B1767"/>
    <w:rsid w:val="002B187A"/>
    <w:rsid w:val="002B225A"/>
    <w:rsid w:val="002B235C"/>
    <w:rsid w:val="002B2486"/>
    <w:rsid w:val="002B3A54"/>
    <w:rsid w:val="002B3E53"/>
    <w:rsid w:val="002B4342"/>
    <w:rsid w:val="002B4C0A"/>
    <w:rsid w:val="002B4CAD"/>
    <w:rsid w:val="002B5907"/>
    <w:rsid w:val="002B5A53"/>
    <w:rsid w:val="002B5A6C"/>
    <w:rsid w:val="002B5D87"/>
    <w:rsid w:val="002B6014"/>
    <w:rsid w:val="002B61D9"/>
    <w:rsid w:val="002B6474"/>
    <w:rsid w:val="002B6605"/>
    <w:rsid w:val="002B70DF"/>
    <w:rsid w:val="002B73DC"/>
    <w:rsid w:val="002B7763"/>
    <w:rsid w:val="002B7CA9"/>
    <w:rsid w:val="002C06C4"/>
    <w:rsid w:val="002C079F"/>
    <w:rsid w:val="002C1302"/>
    <w:rsid w:val="002C1393"/>
    <w:rsid w:val="002C1435"/>
    <w:rsid w:val="002C17A9"/>
    <w:rsid w:val="002C1AF5"/>
    <w:rsid w:val="002C1CF0"/>
    <w:rsid w:val="002C271F"/>
    <w:rsid w:val="002C28AB"/>
    <w:rsid w:val="002C2E98"/>
    <w:rsid w:val="002C2F21"/>
    <w:rsid w:val="002C2FE6"/>
    <w:rsid w:val="002C358C"/>
    <w:rsid w:val="002C363A"/>
    <w:rsid w:val="002C375A"/>
    <w:rsid w:val="002C376C"/>
    <w:rsid w:val="002C4A54"/>
    <w:rsid w:val="002C4CE2"/>
    <w:rsid w:val="002C4D1B"/>
    <w:rsid w:val="002C4F2C"/>
    <w:rsid w:val="002C5A36"/>
    <w:rsid w:val="002C6582"/>
    <w:rsid w:val="002C6720"/>
    <w:rsid w:val="002C6915"/>
    <w:rsid w:val="002C6C70"/>
    <w:rsid w:val="002C6D32"/>
    <w:rsid w:val="002C6EDE"/>
    <w:rsid w:val="002C7E4C"/>
    <w:rsid w:val="002D0EA0"/>
    <w:rsid w:val="002D1188"/>
    <w:rsid w:val="002D138B"/>
    <w:rsid w:val="002D1A99"/>
    <w:rsid w:val="002D1B4C"/>
    <w:rsid w:val="002D28CB"/>
    <w:rsid w:val="002D2C06"/>
    <w:rsid w:val="002D30F6"/>
    <w:rsid w:val="002D3538"/>
    <w:rsid w:val="002D3911"/>
    <w:rsid w:val="002D4575"/>
    <w:rsid w:val="002D4811"/>
    <w:rsid w:val="002D4DCC"/>
    <w:rsid w:val="002D5DDF"/>
    <w:rsid w:val="002D60E2"/>
    <w:rsid w:val="002D61E0"/>
    <w:rsid w:val="002D662B"/>
    <w:rsid w:val="002D667B"/>
    <w:rsid w:val="002D7AE5"/>
    <w:rsid w:val="002E00FA"/>
    <w:rsid w:val="002E0195"/>
    <w:rsid w:val="002E06D5"/>
    <w:rsid w:val="002E1C18"/>
    <w:rsid w:val="002E28F5"/>
    <w:rsid w:val="002E354D"/>
    <w:rsid w:val="002E3859"/>
    <w:rsid w:val="002E3D04"/>
    <w:rsid w:val="002E41BB"/>
    <w:rsid w:val="002E42DB"/>
    <w:rsid w:val="002E4A6B"/>
    <w:rsid w:val="002E4FBF"/>
    <w:rsid w:val="002E518F"/>
    <w:rsid w:val="002E5236"/>
    <w:rsid w:val="002E57F2"/>
    <w:rsid w:val="002E5DC1"/>
    <w:rsid w:val="002E621D"/>
    <w:rsid w:val="002E6B32"/>
    <w:rsid w:val="002E7A31"/>
    <w:rsid w:val="002E7F52"/>
    <w:rsid w:val="002F05B3"/>
    <w:rsid w:val="002F0A40"/>
    <w:rsid w:val="002F0C3F"/>
    <w:rsid w:val="002F1012"/>
    <w:rsid w:val="002F1115"/>
    <w:rsid w:val="002F158D"/>
    <w:rsid w:val="002F1698"/>
    <w:rsid w:val="002F1890"/>
    <w:rsid w:val="002F18A0"/>
    <w:rsid w:val="002F2378"/>
    <w:rsid w:val="002F2403"/>
    <w:rsid w:val="002F2A2F"/>
    <w:rsid w:val="002F2F8F"/>
    <w:rsid w:val="002F3229"/>
    <w:rsid w:val="002F397C"/>
    <w:rsid w:val="002F3D05"/>
    <w:rsid w:val="002F40CB"/>
    <w:rsid w:val="002F483C"/>
    <w:rsid w:val="002F4CDC"/>
    <w:rsid w:val="002F5E39"/>
    <w:rsid w:val="002F5EB2"/>
    <w:rsid w:val="002F6ADF"/>
    <w:rsid w:val="002F6D0D"/>
    <w:rsid w:val="002F7689"/>
    <w:rsid w:val="002F7B9F"/>
    <w:rsid w:val="002F7FB6"/>
    <w:rsid w:val="003002C2"/>
    <w:rsid w:val="00300752"/>
    <w:rsid w:val="00300DD2"/>
    <w:rsid w:val="00300FCD"/>
    <w:rsid w:val="0030101A"/>
    <w:rsid w:val="00301121"/>
    <w:rsid w:val="00301A39"/>
    <w:rsid w:val="003021B7"/>
    <w:rsid w:val="0030232E"/>
    <w:rsid w:val="00303163"/>
    <w:rsid w:val="00304A4C"/>
    <w:rsid w:val="00304E38"/>
    <w:rsid w:val="00305802"/>
    <w:rsid w:val="00305955"/>
    <w:rsid w:val="00305FFD"/>
    <w:rsid w:val="003060A3"/>
    <w:rsid w:val="003076A9"/>
    <w:rsid w:val="00311704"/>
    <w:rsid w:val="003119C4"/>
    <w:rsid w:val="00311AF3"/>
    <w:rsid w:val="0031318F"/>
    <w:rsid w:val="003131B0"/>
    <w:rsid w:val="003135A7"/>
    <w:rsid w:val="00313AAB"/>
    <w:rsid w:val="00313D57"/>
    <w:rsid w:val="00314126"/>
    <w:rsid w:val="003148E3"/>
    <w:rsid w:val="00314F3A"/>
    <w:rsid w:val="00315125"/>
    <w:rsid w:val="00315322"/>
    <w:rsid w:val="00315705"/>
    <w:rsid w:val="00315FD8"/>
    <w:rsid w:val="00316373"/>
    <w:rsid w:val="003167D6"/>
    <w:rsid w:val="003177D9"/>
    <w:rsid w:val="003202FE"/>
    <w:rsid w:val="0032073B"/>
    <w:rsid w:val="00320A6F"/>
    <w:rsid w:val="003220D0"/>
    <w:rsid w:val="003220FB"/>
    <w:rsid w:val="0032270D"/>
    <w:rsid w:val="0032281C"/>
    <w:rsid w:val="00322871"/>
    <w:rsid w:val="00322D36"/>
    <w:rsid w:val="003231A3"/>
    <w:rsid w:val="00323378"/>
    <w:rsid w:val="003235EC"/>
    <w:rsid w:val="0032451A"/>
    <w:rsid w:val="003245D4"/>
    <w:rsid w:val="0032463F"/>
    <w:rsid w:val="00324640"/>
    <w:rsid w:val="00324A2D"/>
    <w:rsid w:val="00324D96"/>
    <w:rsid w:val="00324DB3"/>
    <w:rsid w:val="00324DEB"/>
    <w:rsid w:val="00324FA2"/>
    <w:rsid w:val="00325733"/>
    <w:rsid w:val="00325A72"/>
    <w:rsid w:val="0032631C"/>
    <w:rsid w:val="0032647B"/>
    <w:rsid w:val="00326900"/>
    <w:rsid w:val="00326EE8"/>
    <w:rsid w:val="003305BF"/>
    <w:rsid w:val="003308FF"/>
    <w:rsid w:val="0033163D"/>
    <w:rsid w:val="00331DB0"/>
    <w:rsid w:val="003326AF"/>
    <w:rsid w:val="00332815"/>
    <w:rsid w:val="00332F93"/>
    <w:rsid w:val="003333D9"/>
    <w:rsid w:val="00334003"/>
    <w:rsid w:val="003349EB"/>
    <w:rsid w:val="00334AB8"/>
    <w:rsid w:val="00334C75"/>
    <w:rsid w:val="00334FB5"/>
    <w:rsid w:val="00335E53"/>
    <w:rsid w:val="00336340"/>
    <w:rsid w:val="00336913"/>
    <w:rsid w:val="00336CC0"/>
    <w:rsid w:val="00336DE8"/>
    <w:rsid w:val="00336E51"/>
    <w:rsid w:val="003374D4"/>
    <w:rsid w:val="00337F4F"/>
    <w:rsid w:val="00340298"/>
    <w:rsid w:val="0034138E"/>
    <w:rsid w:val="00341783"/>
    <w:rsid w:val="003418D3"/>
    <w:rsid w:val="00341D11"/>
    <w:rsid w:val="00342211"/>
    <w:rsid w:val="003430EA"/>
    <w:rsid w:val="0034368C"/>
    <w:rsid w:val="00343746"/>
    <w:rsid w:val="00344564"/>
    <w:rsid w:val="0034470C"/>
    <w:rsid w:val="0034490D"/>
    <w:rsid w:val="00344CBE"/>
    <w:rsid w:val="0034506E"/>
    <w:rsid w:val="00345AC5"/>
    <w:rsid w:val="00345E44"/>
    <w:rsid w:val="003465E7"/>
    <w:rsid w:val="00346B53"/>
    <w:rsid w:val="00346D5F"/>
    <w:rsid w:val="00346E77"/>
    <w:rsid w:val="00347017"/>
    <w:rsid w:val="00350649"/>
    <w:rsid w:val="003513E8"/>
    <w:rsid w:val="0035198C"/>
    <w:rsid w:val="0035199E"/>
    <w:rsid w:val="00351C4C"/>
    <w:rsid w:val="00351EFD"/>
    <w:rsid w:val="00351F9A"/>
    <w:rsid w:val="003520AB"/>
    <w:rsid w:val="00352150"/>
    <w:rsid w:val="00352269"/>
    <w:rsid w:val="0035245E"/>
    <w:rsid w:val="0035272E"/>
    <w:rsid w:val="00352CE6"/>
    <w:rsid w:val="0035358B"/>
    <w:rsid w:val="00353D16"/>
    <w:rsid w:val="00354664"/>
    <w:rsid w:val="00354692"/>
    <w:rsid w:val="00354B1F"/>
    <w:rsid w:val="00354CA4"/>
    <w:rsid w:val="003551EC"/>
    <w:rsid w:val="00356355"/>
    <w:rsid w:val="00356A16"/>
    <w:rsid w:val="00357621"/>
    <w:rsid w:val="00357DB6"/>
    <w:rsid w:val="00357F94"/>
    <w:rsid w:val="00360189"/>
    <w:rsid w:val="0036046E"/>
    <w:rsid w:val="003605AC"/>
    <w:rsid w:val="003616D4"/>
    <w:rsid w:val="00361A1F"/>
    <w:rsid w:val="0036323D"/>
    <w:rsid w:val="00363C5A"/>
    <w:rsid w:val="0036452A"/>
    <w:rsid w:val="00365E59"/>
    <w:rsid w:val="003664C4"/>
    <w:rsid w:val="003666FD"/>
    <w:rsid w:val="003679FA"/>
    <w:rsid w:val="00367B4B"/>
    <w:rsid w:val="00370057"/>
    <w:rsid w:val="00370716"/>
    <w:rsid w:val="00370E60"/>
    <w:rsid w:val="00371276"/>
    <w:rsid w:val="003713ED"/>
    <w:rsid w:val="003717CC"/>
    <w:rsid w:val="00371E29"/>
    <w:rsid w:val="003725FD"/>
    <w:rsid w:val="003728BF"/>
    <w:rsid w:val="00372A74"/>
    <w:rsid w:val="00373215"/>
    <w:rsid w:val="0037424A"/>
    <w:rsid w:val="003742A1"/>
    <w:rsid w:val="003744AC"/>
    <w:rsid w:val="003744D0"/>
    <w:rsid w:val="003752FF"/>
    <w:rsid w:val="003757C2"/>
    <w:rsid w:val="003760D8"/>
    <w:rsid w:val="003762FD"/>
    <w:rsid w:val="003769FF"/>
    <w:rsid w:val="00376A2A"/>
    <w:rsid w:val="00376D50"/>
    <w:rsid w:val="00380421"/>
    <w:rsid w:val="00380785"/>
    <w:rsid w:val="00380933"/>
    <w:rsid w:val="003809B9"/>
    <w:rsid w:val="00380B10"/>
    <w:rsid w:val="00380BBB"/>
    <w:rsid w:val="00380DBE"/>
    <w:rsid w:val="0038231C"/>
    <w:rsid w:val="00382420"/>
    <w:rsid w:val="00382D9F"/>
    <w:rsid w:val="00384426"/>
    <w:rsid w:val="00384907"/>
    <w:rsid w:val="00384F3A"/>
    <w:rsid w:val="00385044"/>
    <w:rsid w:val="0038510B"/>
    <w:rsid w:val="00385776"/>
    <w:rsid w:val="00385C90"/>
    <w:rsid w:val="00385D47"/>
    <w:rsid w:val="003865A0"/>
    <w:rsid w:val="00386D45"/>
    <w:rsid w:val="00390C2B"/>
    <w:rsid w:val="00391252"/>
    <w:rsid w:val="003912D4"/>
    <w:rsid w:val="0039139B"/>
    <w:rsid w:val="00391408"/>
    <w:rsid w:val="00391638"/>
    <w:rsid w:val="00391871"/>
    <w:rsid w:val="00392612"/>
    <w:rsid w:val="00393BAD"/>
    <w:rsid w:val="0039449D"/>
    <w:rsid w:val="003949D8"/>
    <w:rsid w:val="00394B3C"/>
    <w:rsid w:val="00395728"/>
    <w:rsid w:val="00395B9C"/>
    <w:rsid w:val="00396F3C"/>
    <w:rsid w:val="00397152"/>
    <w:rsid w:val="00397BAF"/>
    <w:rsid w:val="003A0982"/>
    <w:rsid w:val="003A0E55"/>
    <w:rsid w:val="003A0E94"/>
    <w:rsid w:val="003A10FA"/>
    <w:rsid w:val="003A1429"/>
    <w:rsid w:val="003A162E"/>
    <w:rsid w:val="003A16A7"/>
    <w:rsid w:val="003A1838"/>
    <w:rsid w:val="003A1ADD"/>
    <w:rsid w:val="003A1B2F"/>
    <w:rsid w:val="003A2228"/>
    <w:rsid w:val="003A2BEB"/>
    <w:rsid w:val="003A30D4"/>
    <w:rsid w:val="003A363E"/>
    <w:rsid w:val="003A4307"/>
    <w:rsid w:val="003A43E1"/>
    <w:rsid w:val="003A494D"/>
    <w:rsid w:val="003A5262"/>
    <w:rsid w:val="003A58FD"/>
    <w:rsid w:val="003A5FA4"/>
    <w:rsid w:val="003A6B90"/>
    <w:rsid w:val="003A7539"/>
    <w:rsid w:val="003A769C"/>
    <w:rsid w:val="003A77D2"/>
    <w:rsid w:val="003A7CF7"/>
    <w:rsid w:val="003A7DE8"/>
    <w:rsid w:val="003A7F0E"/>
    <w:rsid w:val="003B02F0"/>
    <w:rsid w:val="003B0510"/>
    <w:rsid w:val="003B06E5"/>
    <w:rsid w:val="003B0D1E"/>
    <w:rsid w:val="003B0D83"/>
    <w:rsid w:val="003B1303"/>
    <w:rsid w:val="003B1B59"/>
    <w:rsid w:val="003B2565"/>
    <w:rsid w:val="003B2D34"/>
    <w:rsid w:val="003B2E3A"/>
    <w:rsid w:val="003B37CF"/>
    <w:rsid w:val="003B4554"/>
    <w:rsid w:val="003B4A59"/>
    <w:rsid w:val="003B4C60"/>
    <w:rsid w:val="003B5091"/>
    <w:rsid w:val="003B557E"/>
    <w:rsid w:val="003B562E"/>
    <w:rsid w:val="003B574C"/>
    <w:rsid w:val="003B5CB9"/>
    <w:rsid w:val="003B614B"/>
    <w:rsid w:val="003B6973"/>
    <w:rsid w:val="003B6AF1"/>
    <w:rsid w:val="003B6FDF"/>
    <w:rsid w:val="003B715D"/>
    <w:rsid w:val="003B756F"/>
    <w:rsid w:val="003B758A"/>
    <w:rsid w:val="003B7BE5"/>
    <w:rsid w:val="003B7F29"/>
    <w:rsid w:val="003C023F"/>
    <w:rsid w:val="003C0D24"/>
    <w:rsid w:val="003C129C"/>
    <w:rsid w:val="003C13C1"/>
    <w:rsid w:val="003C2257"/>
    <w:rsid w:val="003C23AE"/>
    <w:rsid w:val="003C256B"/>
    <w:rsid w:val="003C25BC"/>
    <w:rsid w:val="003C2C90"/>
    <w:rsid w:val="003C30E0"/>
    <w:rsid w:val="003C31AB"/>
    <w:rsid w:val="003C32B3"/>
    <w:rsid w:val="003C3831"/>
    <w:rsid w:val="003C3848"/>
    <w:rsid w:val="003C3B49"/>
    <w:rsid w:val="003C40E4"/>
    <w:rsid w:val="003C4A50"/>
    <w:rsid w:val="003C57D8"/>
    <w:rsid w:val="003C61C0"/>
    <w:rsid w:val="003C68AD"/>
    <w:rsid w:val="003C70E1"/>
    <w:rsid w:val="003C7885"/>
    <w:rsid w:val="003C7CCD"/>
    <w:rsid w:val="003C7ECE"/>
    <w:rsid w:val="003D083D"/>
    <w:rsid w:val="003D0E13"/>
    <w:rsid w:val="003D1156"/>
    <w:rsid w:val="003D1160"/>
    <w:rsid w:val="003D1381"/>
    <w:rsid w:val="003D1576"/>
    <w:rsid w:val="003D1B6F"/>
    <w:rsid w:val="003D24EB"/>
    <w:rsid w:val="003D2641"/>
    <w:rsid w:val="003D296A"/>
    <w:rsid w:val="003D2DA5"/>
    <w:rsid w:val="003D31E7"/>
    <w:rsid w:val="003D417D"/>
    <w:rsid w:val="003D419E"/>
    <w:rsid w:val="003D4CB3"/>
    <w:rsid w:val="003D575C"/>
    <w:rsid w:val="003D587A"/>
    <w:rsid w:val="003D5923"/>
    <w:rsid w:val="003D5FEC"/>
    <w:rsid w:val="003D6A13"/>
    <w:rsid w:val="003D6CA3"/>
    <w:rsid w:val="003D7634"/>
    <w:rsid w:val="003D7761"/>
    <w:rsid w:val="003D7B9A"/>
    <w:rsid w:val="003D7FC8"/>
    <w:rsid w:val="003E0076"/>
    <w:rsid w:val="003E03DA"/>
    <w:rsid w:val="003E0903"/>
    <w:rsid w:val="003E0E76"/>
    <w:rsid w:val="003E12EC"/>
    <w:rsid w:val="003E136A"/>
    <w:rsid w:val="003E16F6"/>
    <w:rsid w:val="003E1FA0"/>
    <w:rsid w:val="003E27FC"/>
    <w:rsid w:val="003E2931"/>
    <w:rsid w:val="003E2CA5"/>
    <w:rsid w:val="003E365E"/>
    <w:rsid w:val="003E3B72"/>
    <w:rsid w:val="003E3EAD"/>
    <w:rsid w:val="003E426D"/>
    <w:rsid w:val="003E4496"/>
    <w:rsid w:val="003E455C"/>
    <w:rsid w:val="003E45B7"/>
    <w:rsid w:val="003E513C"/>
    <w:rsid w:val="003E56AB"/>
    <w:rsid w:val="003E57E5"/>
    <w:rsid w:val="003E59C0"/>
    <w:rsid w:val="003E5C16"/>
    <w:rsid w:val="003E674B"/>
    <w:rsid w:val="003E76D1"/>
    <w:rsid w:val="003E7821"/>
    <w:rsid w:val="003F0C73"/>
    <w:rsid w:val="003F10BA"/>
    <w:rsid w:val="003F189F"/>
    <w:rsid w:val="003F2996"/>
    <w:rsid w:val="003F300F"/>
    <w:rsid w:val="003F3534"/>
    <w:rsid w:val="003F3B1E"/>
    <w:rsid w:val="003F482D"/>
    <w:rsid w:val="003F4DDB"/>
    <w:rsid w:val="003F53EA"/>
    <w:rsid w:val="003F561B"/>
    <w:rsid w:val="003F581A"/>
    <w:rsid w:val="003F58AC"/>
    <w:rsid w:val="003F5ECD"/>
    <w:rsid w:val="003F6058"/>
    <w:rsid w:val="003F6A10"/>
    <w:rsid w:val="003F6B61"/>
    <w:rsid w:val="003F769E"/>
    <w:rsid w:val="003F7858"/>
    <w:rsid w:val="003F795C"/>
    <w:rsid w:val="003F7FD2"/>
    <w:rsid w:val="00400178"/>
    <w:rsid w:val="0040024E"/>
    <w:rsid w:val="004009B1"/>
    <w:rsid w:val="00401AE5"/>
    <w:rsid w:val="00402A49"/>
    <w:rsid w:val="00403694"/>
    <w:rsid w:val="00403D1B"/>
    <w:rsid w:val="004048DB"/>
    <w:rsid w:val="00404938"/>
    <w:rsid w:val="00405450"/>
    <w:rsid w:val="00405C97"/>
    <w:rsid w:val="00406266"/>
    <w:rsid w:val="00406C66"/>
    <w:rsid w:val="004070E4"/>
    <w:rsid w:val="00407B00"/>
    <w:rsid w:val="00407B61"/>
    <w:rsid w:val="00410295"/>
    <w:rsid w:val="0041039D"/>
    <w:rsid w:val="0041179A"/>
    <w:rsid w:val="0041180B"/>
    <w:rsid w:val="00411FB6"/>
    <w:rsid w:val="00412598"/>
    <w:rsid w:val="00412DB6"/>
    <w:rsid w:val="0041347D"/>
    <w:rsid w:val="00413764"/>
    <w:rsid w:val="004138FB"/>
    <w:rsid w:val="00413905"/>
    <w:rsid w:val="004144A3"/>
    <w:rsid w:val="004144FC"/>
    <w:rsid w:val="00414A98"/>
    <w:rsid w:val="00414B49"/>
    <w:rsid w:val="0041502A"/>
    <w:rsid w:val="004150F0"/>
    <w:rsid w:val="00415751"/>
    <w:rsid w:val="004159DA"/>
    <w:rsid w:val="00415CAE"/>
    <w:rsid w:val="00415EC3"/>
    <w:rsid w:val="00416070"/>
    <w:rsid w:val="004163DC"/>
    <w:rsid w:val="00416780"/>
    <w:rsid w:val="0041735F"/>
    <w:rsid w:val="0041763C"/>
    <w:rsid w:val="0042017E"/>
    <w:rsid w:val="0042025B"/>
    <w:rsid w:val="00420639"/>
    <w:rsid w:val="00420742"/>
    <w:rsid w:val="00420C1C"/>
    <w:rsid w:val="00420C2E"/>
    <w:rsid w:val="00420C31"/>
    <w:rsid w:val="00420DE6"/>
    <w:rsid w:val="00420F6E"/>
    <w:rsid w:val="0042158A"/>
    <w:rsid w:val="0042193E"/>
    <w:rsid w:val="00421DE9"/>
    <w:rsid w:val="0042204C"/>
    <w:rsid w:val="004222D4"/>
    <w:rsid w:val="00422996"/>
    <w:rsid w:val="00422D98"/>
    <w:rsid w:val="004231DC"/>
    <w:rsid w:val="00424BB0"/>
    <w:rsid w:val="00425459"/>
    <w:rsid w:val="00425B2B"/>
    <w:rsid w:val="00425D52"/>
    <w:rsid w:val="00425EB8"/>
    <w:rsid w:val="00426C6D"/>
    <w:rsid w:val="00427133"/>
    <w:rsid w:val="00427423"/>
    <w:rsid w:val="00427538"/>
    <w:rsid w:val="00427AF2"/>
    <w:rsid w:val="00427BB5"/>
    <w:rsid w:val="00427EB8"/>
    <w:rsid w:val="00430B1B"/>
    <w:rsid w:val="00430CE6"/>
    <w:rsid w:val="00430E40"/>
    <w:rsid w:val="00433443"/>
    <w:rsid w:val="00433E10"/>
    <w:rsid w:val="0043456D"/>
    <w:rsid w:val="004345BF"/>
    <w:rsid w:val="0043470F"/>
    <w:rsid w:val="00434C6E"/>
    <w:rsid w:val="004352D5"/>
    <w:rsid w:val="0043544D"/>
    <w:rsid w:val="00435BE6"/>
    <w:rsid w:val="00435F9E"/>
    <w:rsid w:val="00436C3B"/>
    <w:rsid w:val="0043703B"/>
    <w:rsid w:val="0043712D"/>
    <w:rsid w:val="00437918"/>
    <w:rsid w:val="00437AF0"/>
    <w:rsid w:val="00437E38"/>
    <w:rsid w:val="004400A2"/>
    <w:rsid w:val="004405CF"/>
    <w:rsid w:val="0044076B"/>
    <w:rsid w:val="00440FD4"/>
    <w:rsid w:val="0044104A"/>
    <w:rsid w:val="004412E5"/>
    <w:rsid w:val="00441441"/>
    <w:rsid w:val="00441660"/>
    <w:rsid w:val="00441A41"/>
    <w:rsid w:val="00442384"/>
    <w:rsid w:val="00442526"/>
    <w:rsid w:val="0044275C"/>
    <w:rsid w:val="00442798"/>
    <w:rsid w:val="004428B5"/>
    <w:rsid w:val="00442B13"/>
    <w:rsid w:val="00442F85"/>
    <w:rsid w:val="004441C6"/>
    <w:rsid w:val="00444233"/>
    <w:rsid w:val="0044533F"/>
    <w:rsid w:val="00445690"/>
    <w:rsid w:val="004457A0"/>
    <w:rsid w:val="00445D3C"/>
    <w:rsid w:val="004463E2"/>
    <w:rsid w:val="00447C57"/>
    <w:rsid w:val="0045067A"/>
    <w:rsid w:val="0045086E"/>
    <w:rsid w:val="00450F7B"/>
    <w:rsid w:val="00452326"/>
    <w:rsid w:val="00452DF9"/>
    <w:rsid w:val="00452F01"/>
    <w:rsid w:val="00452F0C"/>
    <w:rsid w:val="00453122"/>
    <w:rsid w:val="0045342D"/>
    <w:rsid w:val="004538D4"/>
    <w:rsid w:val="00454808"/>
    <w:rsid w:val="00454B70"/>
    <w:rsid w:val="0045539C"/>
    <w:rsid w:val="00456085"/>
    <w:rsid w:val="004564DF"/>
    <w:rsid w:val="004568BA"/>
    <w:rsid w:val="00456EFF"/>
    <w:rsid w:val="004575DF"/>
    <w:rsid w:val="00457895"/>
    <w:rsid w:val="00457A5E"/>
    <w:rsid w:val="00457C03"/>
    <w:rsid w:val="00460462"/>
    <w:rsid w:val="00460736"/>
    <w:rsid w:val="00461353"/>
    <w:rsid w:val="0046147D"/>
    <w:rsid w:val="00461EA0"/>
    <w:rsid w:val="004620A8"/>
    <w:rsid w:val="004620ED"/>
    <w:rsid w:val="00462A30"/>
    <w:rsid w:val="00462D0C"/>
    <w:rsid w:val="00463305"/>
    <w:rsid w:val="004635E5"/>
    <w:rsid w:val="00463662"/>
    <w:rsid w:val="0046373E"/>
    <w:rsid w:val="0046374A"/>
    <w:rsid w:val="00463808"/>
    <w:rsid w:val="00463AA0"/>
    <w:rsid w:val="00463B90"/>
    <w:rsid w:val="00463F4F"/>
    <w:rsid w:val="00464159"/>
    <w:rsid w:val="00464499"/>
    <w:rsid w:val="004646F4"/>
    <w:rsid w:val="00465051"/>
    <w:rsid w:val="004656CD"/>
    <w:rsid w:val="004659C9"/>
    <w:rsid w:val="00465E81"/>
    <w:rsid w:val="00465F67"/>
    <w:rsid w:val="004664A3"/>
    <w:rsid w:val="00466507"/>
    <w:rsid w:val="00466953"/>
    <w:rsid w:val="00466CBA"/>
    <w:rsid w:val="00466EC2"/>
    <w:rsid w:val="004674D3"/>
    <w:rsid w:val="00467A6B"/>
    <w:rsid w:val="00467F48"/>
    <w:rsid w:val="00467F4E"/>
    <w:rsid w:val="0047020B"/>
    <w:rsid w:val="004707DD"/>
    <w:rsid w:val="00471223"/>
    <w:rsid w:val="00471B0B"/>
    <w:rsid w:val="00471D6D"/>
    <w:rsid w:val="0047207E"/>
    <w:rsid w:val="004734A9"/>
    <w:rsid w:val="00473749"/>
    <w:rsid w:val="004738D2"/>
    <w:rsid w:val="00473E30"/>
    <w:rsid w:val="00474675"/>
    <w:rsid w:val="00474965"/>
    <w:rsid w:val="00474B29"/>
    <w:rsid w:val="00474C9A"/>
    <w:rsid w:val="00475D74"/>
    <w:rsid w:val="00475DC6"/>
    <w:rsid w:val="00475F32"/>
    <w:rsid w:val="00476316"/>
    <w:rsid w:val="004765B9"/>
    <w:rsid w:val="0047670E"/>
    <w:rsid w:val="00476E6C"/>
    <w:rsid w:val="00477E3B"/>
    <w:rsid w:val="00480745"/>
    <w:rsid w:val="00480B05"/>
    <w:rsid w:val="00480EC9"/>
    <w:rsid w:val="00481578"/>
    <w:rsid w:val="0048164D"/>
    <w:rsid w:val="0048172B"/>
    <w:rsid w:val="00482CBE"/>
    <w:rsid w:val="0048336C"/>
    <w:rsid w:val="0048390D"/>
    <w:rsid w:val="00483D16"/>
    <w:rsid w:val="00484EA9"/>
    <w:rsid w:val="004853DD"/>
    <w:rsid w:val="004856E0"/>
    <w:rsid w:val="0048570E"/>
    <w:rsid w:val="00485A90"/>
    <w:rsid w:val="0048630F"/>
    <w:rsid w:val="004863B2"/>
    <w:rsid w:val="004864CD"/>
    <w:rsid w:val="0048743F"/>
    <w:rsid w:val="00490829"/>
    <w:rsid w:val="00490A25"/>
    <w:rsid w:val="00490AD6"/>
    <w:rsid w:val="00490B02"/>
    <w:rsid w:val="00490EA2"/>
    <w:rsid w:val="00491327"/>
    <w:rsid w:val="0049157F"/>
    <w:rsid w:val="00491D0B"/>
    <w:rsid w:val="00491F51"/>
    <w:rsid w:val="00492848"/>
    <w:rsid w:val="00493057"/>
    <w:rsid w:val="00493696"/>
    <w:rsid w:val="004953D7"/>
    <w:rsid w:val="00495773"/>
    <w:rsid w:val="00495971"/>
    <w:rsid w:val="004959BF"/>
    <w:rsid w:val="00495DB8"/>
    <w:rsid w:val="00496DDE"/>
    <w:rsid w:val="00496F34"/>
    <w:rsid w:val="00497071"/>
    <w:rsid w:val="00497375"/>
    <w:rsid w:val="004A05A0"/>
    <w:rsid w:val="004A11B7"/>
    <w:rsid w:val="004A1244"/>
    <w:rsid w:val="004A12F1"/>
    <w:rsid w:val="004A1601"/>
    <w:rsid w:val="004A1D35"/>
    <w:rsid w:val="004A2207"/>
    <w:rsid w:val="004A290F"/>
    <w:rsid w:val="004A2FA4"/>
    <w:rsid w:val="004A426E"/>
    <w:rsid w:val="004A4512"/>
    <w:rsid w:val="004A5F42"/>
    <w:rsid w:val="004A7465"/>
    <w:rsid w:val="004A7489"/>
    <w:rsid w:val="004A7E9B"/>
    <w:rsid w:val="004B0A01"/>
    <w:rsid w:val="004B0A42"/>
    <w:rsid w:val="004B0DB4"/>
    <w:rsid w:val="004B138F"/>
    <w:rsid w:val="004B1683"/>
    <w:rsid w:val="004B1BA9"/>
    <w:rsid w:val="004B1DBE"/>
    <w:rsid w:val="004B1DD7"/>
    <w:rsid w:val="004B23F7"/>
    <w:rsid w:val="004B241A"/>
    <w:rsid w:val="004B2900"/>
    <w:rsid w:val="004B3F51"/>
    <w:rsid w:val="004B40C4"/>
    <w:rsid w:val="004B425F"/>
    <w:rsid w:val="004B4455"/>
    <w:rsid w:val="004B4ED1"/>
    <w:rsid w:val="004B5120"/>
    <w:rsid w:val="004B5484"/>
    <w:rsid w:val="004B5634"/>
    <w:rsid w:val="004B570A"/>
    <w:rsid w:val="004B5D1E"/>
    <w:rsid w:val="004B64C5"/>
    <w:rsid w:val="004B6FD5"/>
    <w:rsid w:val="004B789A"/>
    <w:rsid w:val="004B7923"/>
    <w:rsid w:val="004B79A8"/>
    <w:rsid w:val="004B7CAD"/>
    <w:rsid w:val="004C025E"/>
    <w:rsid w:val="004C0301"/>
    <w:rsid w:val="004C086B"/>
    <w:rsid w:val="004C17DB"/>
    <w:rsid w:val="004C1C93"/>
    <w:rsid w:val="004C1FB6"/>
    <w:rsid w:val="004C1FCC"/>
    <w:rsid w:val="004C25EB"/>
    <w:rsid w:val="004C274C"/>
    <w:rsid w:val="004C291B"/>
    <w:rsid w:val="004C2D4F"/>
    <w:rsid w:val="004C2F40"/>
    <w:rsid w:val="004C3277"/>
    <w:rsid w:val="004C374C"/>
    <w:rsid w:val="004C3819"/>
    <w:rsid w:val="004C3BD8"/>
    <w:rsid w:val="004C4C24"/>
    <w:rsid w:val="004C55C1"/>
    <w:rsid w:val="004C6733"/>
    <w:rsid w:val="004C6B18"/>
    <w:rsid w:val="004C6C9C"/>
    <w:rsid w:val="004C6FBE"/>
    <w:rsid w:val="004C7BA9"/>
    <w:rsid w:val="004D02F7"/>
    <w:rsid w:val="004D0842"/>
    <w:rsid w:val="004D0C19"/>
    <w:rsid w:val="004D0DED"/>
    <w:rsid w:val="004D1130"/>
    <w:rsid w:val="004D279C"/>
    <w:rsid w:val="004D2E59"/>
    <w:rsid w:val="004D3668"/>
    <w:rsid w:val="004D387C"/>
    <w:rsid w:val="004D399A"/>
    <w:rsid w:val="004D4770"/>
    <w:rsid w:val="004D4E2E"/>
    <w:rsid w:val="004D538A"/>
    <w:rsid w:val="004D53C1"/>
    <w:rsid w:val="004D5EA2"/>
    <w:rsid w:val="004D5EF5"/>
    <w:rsid w:val="004D617D"/>
    <w:rsid w:val="004D62BF"/>
    <w:rsid w:val="004D6B23"/>
    <w:rsid w:val="004D7550"/>
    <w:rsid w:val="004D7996"/>
    <w:rsid w:val="004D7A03"/>
    <w:rsid w:val="004D7A9E"/>
    <w:rsid w:val="004E011E"/>
    <w:rsid w:val="004E055B"/>
    <w:rsid w:val="004E0BA3"/>
    <w:rsid w:val="004E0DFF"/>
    <w:rsid w:val="004E187D"/>
    <w:rsid w:val="004E1B60"/>
    <w:rsid w:val="004E39CB"/>
    <w:rsid w:val="004E455A"/>
    <w:rsid w:val="004E4A6A"/>
    <w:rsid w:val="004E51A9"/>
    <w:rsid w:val="004E6145"/>
    <w:rsid w:val="004E6841"/>
    <w:rsid w:val="004E695A"/>
    <w:rsid w:val="004E6FD4"/>
    <w:rsid w:val="004E72A9"/>
    <w:rsid w:val="004E7DDD"/>
    <w:rsid w:val="004E7E07"/>
    <w:rsid w:val="004E7EC3"/>
    <w:rsid w:val="004F0845"/>
    <w:rsid w:val="004F094B"/>
    <w:rsid w:val="004F114A"/>
    <w:rsid w:val="004F1FA1"/>
    <w:rsid w:val="004F225B"/>
    <w:rsid w:val="004F23FC"/>
    <w:rsid w:val="004F3108"/>
    <w:rsid w:val="004F3158"/>
    <w:rsid w:val="004F3990"/>
    <w:rsid w:val="004F3CE7"/>
    <w:rsid w:val="004F4D85"/>
    <w:rsid w:val="004F562B"/>
    <w:rsid w:val="004F6079"/>
    <w:rsid w:val="004F66FB"/>
    <w:rsid w:val="004F6E19"/>
    <w:rsid w:val="004F705F"/>
    <w:rsid w:val="004F7498"/>
    <w:rsid w:val="004F78EA"/>
    <w:rsid w:val="004F78F7"/>
    <w:rsid w:val="004F7E4A"/>
    <w:rsid w:val="0050008B"/>
    <w:rsid w:val="0050069F"/>
    <w:rsid w:val="0050102A"/>
    <w:rsid w:val="00502418"/>
    <w:rsid w:val="00502545"/>
    <w:rsid w:val="00502E25"/>
    <w:rsid w:val="00503379"/>
    <w:rsid w:val="00503F6B"/>
    <w:rsid w:val="00504B0B"/>
    <w:rsid w:val="00504F86"/>
    <w:rsid w:val="00504F97"/>
    <w:rsid w:val="00505329"/>
    <w:rsid w:val="00505F47"/>
    <w:rsid w:val="00506623"/>
    <w:rsid w:val="005069A1"/>
    <w:rsid w:val="00506CF4"/>
    <w:rsid w:val="0050783D"/>
    <w:rsid w:val="005078DD"/>
    <w:rsid w:val="00507DF7"/>
    <w:rsid w:val="00507F12"/>
    <w:rsid w:val="005103AF"/>
    <w:rsid w:val="0051073A"/>
    <w:rsid w:val="005107CC"/>
    <w:rsid w:val="00511494"/>
    <w:rsid w:val="005115E1"/>
    <w:rsid w:val="005126B4"/>
    <w:rsid w:val="0051298B"/>
    <w:rsid w:val="00512AB2"/>
    <w:rsid w:val="00513002"/>
    <w:rsid w:val="005135E7"/>
    <w:rsid w:val="00513876"/>
    <w:rsid w:val="00513D65"/>
    <w:rsid w:val="00513FF6"/>
    <w:rsid w:val="00514234"/>
    <w:rsid w:val="0051432F"/>
    <w:rsid w:val="00514437"/>
    <w:rsid w:val="00514C2D"/>
    <w:rsid w:val="00514CAF"/>
    <w:rsid w:val="00515CB4"/>
    <w:rsid w:val="00516203"/>
    <w:rsid w:val="005178C4"/>
    <w:rsid w:val="0051796E"/>
    <w:rsid w:val="00517E45"/>
    <w:rsid w:val="00520B99"/>
    <w:rsid w:val="00520EA6"/>
    <w:rsid w:val="005221E8"/>
    <w:rsid w:val="005227B4"/>
    <w:rsid w:val="00522C7F"/>
    <w:rsid w:val="00522D2F"/>
    <w:rsid w:val="00523376"/>
    <w:rsid w:val="0052387B"/>
    <w:rsid w:val="00524BDE"/>
    <w:rsid w:val="00525107"/>
    <w:rsid w:val="00525112"/>
    <w:rsid w:val="005255D1"/>
    <w:rsid w:val="00525AD7"/>
    <w:rsid w:val="00525B2D"/>
    <w:rsid w:val="00525B80"/>
    <w:rsid w:val="00525C00"/>
    <w:rsid w:val="00525D64"/>
    <w:rsid w:val="00526170"/>
    <w:rsid w:val="00526FC0"/>
    <w:rsid w:val="0052706C"/>
    <w:rsid w:val="00527674"/>
    <w:rsid w:val="005279AE"/>
    <w:rsid w:val="00527BF5"/>
    <w:rsid w:val="00530173"/>
    <w:rsid w:val="00530229"/>
    <w:rsid w:val="0053072C"/>
    <w:rsid w:val="00530AE2"/>
    <w:rsid w:val="00530B34"/>
    <w:rsid w:val="00530EC1"/>
    <w:rsid w:val="00531675"/>
    <w:rsid w:val="0053178F"/>
    <w:rsid w:val="00531EF3"/>
    <w:rsid w:val="00532192"/>
    <w:rsid w:val="00532524"/>
    <w:rsid w:val="00532798"/>
    <w:rsid w:val="00532D5C"/>
    <w:rsid w:val="0053300C"/>
    <w:rsid w:val="0053302E"/>
    <w:rsid w:val="005332BA"/>
    <w:rsid w:val="005333EB"/>
    <w:rsid w:val="005335FF"/>
    <w:rsid w:val="005338BE"/>
    <w:rsid w:val="00533A21"/>
    <w:rsid w:val="00534ED4"/>
    <w:rsid w:val="005357B6"/>
    <w:rsid w:val="00535A91"/>
    <w:rsid w:val="00536017"/>
    <w:rsid w:val="005362FE"/>
    <w:rsid w:val="00536311"/>
    <w:rsid w:val="0053653D"/>
    <w:rsid w:val="00536910"/>
    <w:rsid w:val="005369C0"/>
    <w:rsid w:val="00536C30"/>
    <w:rsid w:val="00536C4B"/>
    <w:rsid w:val="00536DC1"/>
    <w:rsid w:val="00536EEB"/>
    <w:rsid w:val="00537758"/>
    <w:rsid w:val="0053779B"/>
    <w:rsid w:val="00537C8F"/>
    <w:rsid w:val="00537F47"/>
    <w:rsid w:val="00537FDB"/>
    <w:rsid w:val="00540658"/>
    <w:rsid w:val="0054122C"/>
    <w:rsid w:val="00541240"/>
    <w:rsid w:val="00541DF6"/>
    <w:rsid w:val="005427D6"/>
    <w:rsid w:val="00542C5F"/>
    <w:rsid w:val="00542D9F"/>
    <w:rsid w:val="00543A22"/>
    <w:rsid w:val="00543D68"/>
    <w:rsid w:val="00543E1E"/>
    <w:rsid w:val="0054475E"/>
    <w:rsid w:val="00544902"/>
    <w:rsid w:val="00545431"/>
    <w:rsid w:val="005454C5"/>
    <w:rsid w:val="005465C9"/>
    <w:rsid w:val="00546E45"/>
    <w:rsid w:val="00546FE7"/>
    <w:rsid w:val="00547049"/>
    <w:rsid w:val="00547148"/>
    <w:rsid w:val="00547631"/>
    <w:rsid w:val="00547A8B"/>
    <w:rsid w:val="00550302"/>
    <w:rsid w:val="005513C1"/>
    <w:rsid w:val="0055181D"/>
    <w:rsid w:val="0055225A"/>
    <w:rsid w:val="005526B9"/>
    <w:rsid w:val="005536FC"/>
    <w:rsid w:val="00554333"/>
    <w:rsid w:val="00554335"/>
    <w:rsid w:val="005545D9"/>
    <w:rsid w:val="0055479A"/>
    <w:rsid w:val="00554A08"/>
    <w:rsid w:val="005556D7"/>
    <w:rsid w:val="0055612D"/>
    <w:rsid w:val="005565C2"/>
    <w:rsid w:val="005566A6"/>
    <w:rsid w:val="005566AA"/>
    <w:rsid w:val="00556E33"/>
    <w:rsid w:val="005572E0"/>
    <w:rsid w:val="0055774D"/>
    <w:rsid w:val="00557E61"/>
    <w:rsid w:val="00557E8C"/>
    <w:rsid w:val="00561568"/>
    <w:rsid w:val="0056167C"/>
    <w:rsid w:val="00562146"/>
    <w:rsid w:val="005623C7"/>
    <w:rsid w:val="005623F0"/>
    <w:rsid w:val="005625F6"/>
    <w:rsid w:val="005626BC"/>
    <w:rsid w:val="00562BA2"/>
    <w:rsid w:val="0056367D"/>
    <w:rsid w:val="00563985"/>
    <w:rsid w:val="00564071"/>
    <w:rsid w:val="00564630"/>
    <w:rsid w:val="005657AF"/>
    <w:rsid w:val="00565F1B"/>
    <w:rsid w:val="005660D2"/>
    <w:rsid w:val="0056623D"/>
    <w:rsid w:val="00566790"/>
    <w:rsid w:val="005667A1"/>
    <w:rsid w:val="00566BFF"/>
    <w:rsid w:val="00567A09"/>
    <w:rsid w:val="00567C7A"/>
    <w:rsid w:val="00567E82"/>
    <w:rsid w:val="00570A30"/>
    <w:rsid w:val="0057134A"/>
    <w:rsid w:val="00571591"/>
    <w:rsid w:val="005715D1"/>
    <w:rsid w:val="00571F77"/>
    <w:rsid w:val="00573143"/>
    <w:rsid w:val="005735DB"/>
    <w:rsid w:val="005741AF"/>
    <w:rsid w:val="005747AF"/>
    <w:rsid w:val="00574FB4"/>
    <w:rsid w:val="005750D4"/>
    <w:rsid w:val="005754C0"/>
    <w:rsid w:val="00575E67"/>
    <w:rsid w:val="00576717"/>
    <w:rsid w:val="005769AD"/>
    <w:rsid w:val="00576A36"/>
    <w:rsid w:val="00576F18"/>
    <w:rsid w:val="00577173"/>
    <w:rsid w:val="005773FF"/>
    <w:rsid w:val="0057783A"/>
    <w:rsid w:val="00577A0D"/>
    <w:rsid w:val="00577A1D"/>
    <w:rsid w:val="00577BDD"/>
    <w:rsid w:val="00577D01"/>
    <w:rsid w:val="00577F3E"/>
    <w:rsid w:val="0058026D"/>
    <w:rsid w:val="00580968"/>
    <w:rsid w:val="00580CFE"/>
    <w:rsid w:val="005810F7"/>
    <w:rsid w:val="005815B4"/>
    <w:rsid w:val="005817A1"/>
    <w:rsid w:val="00581B74"/>
    <w:rsid w:val="00582187"/>
    <w:rsid w:val="0058268C"/>
    <w:rsid w:val="00582FDC"/>
    <w:rsid w:val="00583305"/>
    <w:rsid w:val="00583463"/>
    <w:rsid w:val="005841A1"/>
    <w:rsid w:val="005841AF"/>
    <w:rsid w:val="0058535D"/>
    <w:rsid w:val="0058577E"/>
    <w:rsid w:val="00585833"/>
    <w:rsid w:val="00585FBF"/>
    <w:rsid w:val="00586571"/>
    <w:rsid w:val="00586610"/>
    <w:rsid w:val="00587676"/>
    <w:rsid w:val="0058770D"/>
    <w:rsid w:val="00590382"/>
    <w:rsid w:val="00591C2D"/>
    <w:rsid w:val="00591E8D"/>
    <w:rsid w:val="00592053"/>
    <w:rsid w:val="005920C8"/>
    <w:rsid w:val="00592431"/>
    <w:rsid w:val="00592989"/>
    <w:rsid w:val="00592B41"/>
    <w:rsid w:val="00592E5C"/>
    <w:rsid w:val="00593604"/>
    <w:rsid w:val="005937E2"/>
    <w:rsid w:val="00594759"/>
    <w:rsid w:val="005949C8"/>
    <w:rsid w:val="00594DFF"/>
    <w:rsid w:val="00594FBB"/>
    <w:rsid w:val="00595D0C"/>
    <w:rsid w:val="0059680E"/>
    <w:rsid w:val="00597086"/>
    <w:rsid w:val="005974D8"/>
    <w:rsid w:val="0059756B"/>
    <w:rsid w:val="00597A27"/>
    <w:rsid w:val="005A0052"/>
    <w:rsid w:val="005A0590"/>
    <w:rsid w:val="005A06DE"/>
    <w:rsid w:val="005A0920"/>
    <w:rsid w:val="005A0CB5"/>
    <w:rsid w:val="005A114D"/>
    <w:rsid w:val="005A192F"/>
    <w:rsid w:val="005A193C"/>
    <w:rsid w:val="005A1AAF"/>
    <w:rsid w:val="005A2294"/>
    <w:rsid w:val="005A2304"/>
    <w:rsid w:val="005A27D7"/>
    <w:rsid w:val="005A2BAA"/>
    <w:rsid w:val="005A2BE3"/>
    <w:rsid w:val="005A2C23"/>
    <w:rsid w:val="005A30A0"/>
    <w:rsid w:val="005A30CB"/>
    <w:rsid w:val="005A40B4"/>
    <w:rsid w:val="005A440A"/>
    <w:rsid w:val="005A4542"/>
    <w:rsid w:val="005A472B"/>
    <w:rsid w:val="005A4829"/>
    <w:rsid w:val="005A4A69"/>
    <w:rsid w:val="005A4F85"/>
    <w:rsid w:val="005A5211"/>
    <w:rsid w:val="005A5A60"/>
    <w:rsid w:val="005A60A7"/>
    <w:rsid w:val="005A65B8"/>
    <w:rsid w:val="005A6935"/>
    <w:rsid w:val="005A6A00"/>
    <w:rsid w:val="005B0056"/>
    <w:rsid w:val="005B18A5"/>
    <w:rsid w:val="005B31C2"/>
    <w:rsid w:val="005B38BE"/>
    <w:rsid w:val="005B39E3"/>
    <w:rsid w:val="005B4118"/>
    <w:rsid w:val="005B41D0"/>
    <w:rsid w:val="005B438E"/>
    <w:rsid w:val="005B5A88"/>
    <w:rsid w:val="005B6050"/>
    <w:rsid w:val="005B6B9F"/>
    <w:rsid w:val="005B6BEB"/>
    <w:rsid w:val="005B700A"/>
    <w:rsid w:val="005B7164"/>
    <w:rsid w:val="005B731F"/>
    <w:rsid w:val="005B7361"/>
    <w:rsid w:val="005C003B"/>
    <w:rsid w:val="005C0407"/>
    <w:rsid w:val="005C0837"/>
    <w:rsid w:val="005C1124"/>
    <w:rsid w:val="005C15DE"/>
    <w:rsid w:val="005C177D"/>
    <w:rsid w:val="005C1DD2"/>
    <w:rsid w:val="005C2220"/>
    <w:rsid w:val="005C2384"/>
    <w:rsid w:val="005C26CC"/>
    <w:rsid w:val="005C270D"/>
    <w:rsid w:val="005C294D"/>
    <w:rsid w:val="005C3156"/>
    <w:rsid w:val="005C3B59"/>
    <w:rsid w:val="005C3D2E"/>
    <w:rsid w:val="005C4DDD"/>
    <w:rsid w:val="005C50B4"/>
    <w:rsid w:val="005C587E"/>
    <w:rsid w:val="005C61FB"/>
    <w:rsid w:val="005C68E2"/>
    <w:rsid w:val="005C7635"/>
    <w:rsid w:val="005D044C"/>
    <w:rsid w:val="005D09BE"/>
    <w:rsid w:val="005D0F12"/>
    <w:rsid w:val="005D110A"/>
    <w:rsid w:val="005D1124"/>
    <w:rsid w:val="005D112D"/>
    <w:rsid w:val="005D121F"/>
    <w:rsid w:val="005D15D5"/>
    <w:rsid w:val="005D1753"/>
    <w:rsid w:val="005D1A5C"/>
    <w:rsid w:val="005D2156"/>
    <w:rsid w:val="005D239C"/>
    <w:rsid w:val="005D2C72"/>
    <w:rsid w:val="005D399B"/>
    <w:rsid w:val="005D3EB3"/>
    <w:rsid w:val="005D4D2D"/>
    <w:rsid w:val="005D5488"/>
    <w:rsid w:val="005D68B5"/>
    <w:rsid w:val="005D6C76"/>
    <w:rsid w:val="005D6E7C"/>
    <w:rsid w:val="005D7E96"/>
    <w:rsid w:val="005E1D90"/>
    <w:rsid w:val="005E1E73"/>
    <w:rsid w:val="005E2098"/>
    <w:rsid w:val="005E2CDE"/>
    <w:rsid w:val="005E3357"/>
    <w:rsid w:val="005E33FA"/>
    <w:rsid w:val="005E4C08"/>
    <w:rsid w:val="005E5199"/>
    <w:rsid w:val="005E64C8"/>
    <w:rsid w:val="005E6C53"/>
    <w:rsid w:val="005E6CD6"/>
    <w:rsid w:val="005E6CF6"/>
    <w:rsid w:val="005E7942"/>
    <w:rsid w:val="005E7C03"/>
    <w:rsid w:val="005E7EC7"/>
    <w:rsid w:val="005F0214"/>
    <w:rsid w:val="005F040D"/>
    <w:rsid w:val="005F06B6"/>
    <w:rsid w:val="005F14ED"/>
    <w:rsid w:val="005F1D66"/>
    <w:rsid w:val="005F249B"/>
    <w:rsid w:val="005F3326"/>
    <w:rsid w:val="005F3502"/>
    <w:rsid w:val="005F3BAD"/>
    <w:rsid w:val="005F3D21"/>
    <w:rsid w:val="005F3E05"/>
    <w:rsid w:val="005F4106"/>
    <w:rsid w:val="005F44A6"/>
    <w:rsid w:val="005F4EE6"/>
    <w:rsid w:val="005F533B"/>
    <w:rsid w:val="005F537D"/>
    <w:rsid w:val="005F5F2B"/>
    <w:rsid w:val="005F62D6"/>
    <w:rsid w:val="005F69E7"/>
    <w:rsid w:val="005F786E"/>
    <w:rsid w:val="005F78FF"/>
    <w:rsid w:val="005F7E95"/>
    <w:rsid w:val="006009DB"/>
    <w:rsid w:val="0060145E"/>
    <w:rsid w:val="006014F3"/>
    <w:rsid w:val="00601586"/>
    <w:rsid w:val="006016A5"/>
    <w:rsid w:val="00601D17"/>
    <w:rsid w:val="00601F35"/>
    <w:rsid w:val="0060281F"/>
    <w:rsid w:val="006031A1"/>
    <w:rsid w:val="00603261"/>
    <w:rsid w:val="00603851"/>
    <w:rsid w:val="00603FC2"/>
    <w:rsid w:val="00604ADA"/>
    <w:rsid w:val="00604E68"/>
    <w:rsid w:val="00604FB5"/>
    <w:rsid w:val="0060632B"/>
    <w:rsid w:val="00606868"/>
    <w:rsid w:val="00607569"/>
    <w:rsid w:val="00607851"/>
    <w:rsid w:val="00607988"/>
    <w:rsid w:val="0061058A"/>
    <w:rsid w:val="00611938"/>
    <w:rsid w:val="006119A2"/>
    <w:rsid w:val="00612A35"/>
    <w:rsid w:val="00612B41"/>
    <w:rsid w:val="00612BA9"/>
    <w:rsid w:val="0061319A"/>
    <w:rsid w:val="006134C2"/>
    <w:rsid w:val="006135B6"/>
    <w:rsid w:val="00613C05"/>
    <w:rsid w:val="00613C18"/>
    <w:rsid w:val="006141DC"/>
    <w:rsid w:val="0061445E"/>
    <w:rsid w:val="006148CA"/>
    <w:rsid w:val="006150C1"/>
    <w:rsid w:val="00615712"/>
    <w:rsid w:val="00615B9B"/>
    <w:rsid w:val="006166FD"/>
    <w:rsid w:val="0061681B"/>
    <w:rsid w:val="00616A89"/>
    <w:rsid w:val="00617413"/>
    <w:rsid w:val="00617589"/>
    <w:rsid w:val="00617686"/>
    <w:rsid w:val="00617F1E"/>
    <w:rsid w:val="006209D5"/>
    <w:rsid w:val="00620B05"/>
    <w:rsid w:val="006210FD"/>
    <w:rsid w:val="00621442"/>
    <w:rsid w:val="006215CE"/>
    <w:rsid w:val="006215F2"/>
    <w:rsid w:val="00621E1B"/>
    <w:rsid w:val="006225C0"/>
    <w:rsid w:val="00622F6E"/>
    <w:rsid w:val="006231F4"/>
    <w:rsid w:val="006232C9"/>
    <w:rsid w:val="0062371D"/>
    <w:rsid w:val="006237FB"/>
    <w:rsid w:val="0062398F"/>
    <w:rsid w:val="006241A4"/>
    <w:rsid w:val="006241FC"/>
    <w:rsid w:val="0062439E"/>
    <w:rsid w:val="00624ADF"/>
    <w:rsid w:val="00624D72"/>
    <w:rsid w:val="00625037"/>
    <w:rsid w:val="006251A1"/>
    <w:rsid w:val="0062533A"/>
    <w:rsid w:val="006259A6"/>
    <w:rsid w:val="00626711"/>
    <w:rsid w:val="00626C4E"/>
    <w:rsid w:val="006277F2"/>
    <w:rsid w:val="00627E39"/>
    <w:rsid w:val="00627EDF"/>
    <w:rsid w:val="00631553"/>
    <w:rsid w:val="006317FC"/>
    <w:rsid w:val="006319DC"/>
    <w:rsid w:val="00632097"/>
    <w:rsid w:val="00632329"/>
    <w:rsid w:val="0063312C"/>
    <w:rsid w:val="00633382"/>
    <w:rsid w:val="00634500"/>
    <w:rsid w:val="0063457C"/>
    <w:rsid w:val="00634D9B"/>
    <w:rsid w:val="0063568F"/>
    <w:rsid w:val="0063676E"/>
    <w:rsid w:val="00637E2F"/>
    <w:rsid w:val="00640B67"/>
    <w:rsid w:val="00640B99"/>
    <w:rsid w:val="00640C7F"/>
    <w:rsid w:val="00640CD9"/>
    <w:rsid w:val="00640FC4"/>
    <w:rsid w:val="00642282"/>
    <w:rsid w:val="0064276A"/>
    <w:rsid w:val="0064279D"/>
    <w:rsid w:val="00642BAE"/>
    <w:rsid w:val="006442AD"/>
    <w:rsid w:val="0064520E"/>
    <w:rsid w:val="0064610E"/>
    <w:rsid w:val="00646FF3"/>
    <w:rsid w:val="006473A1"/>
    <w:rsid w:val="0064749A"/>
    <w:rsid w:val="00647B7F"/>
    <w:rsid w:val="00650214"/>
    <w:rsid w:val="0065066A"/>
    <w:rsid w:val="00650D6B"/>
    <w:rsid w:val="0065103E"/>
    <w:rsid w:val="00651119"/>
    <w:rsid w:val="0065185C"/>
    <w:rsid w:val="00651C4C"/>
    <w:rsid w:val="00651D55"/>
    <w:rsid w:val="006523D5"/>
    <w:rsid w:val="00652745"/>
    <w:rsid w:val="006527B0"/>
    <w:rsid w:val="00652B38"/>
    <w:rsid w:val="00652CDA"/>
    <w:rsid w:val="00653494"/>
    <w:rsid w:val="006534DC"/>
    <w:rsid w:val="006539B4"/>
    <w:rsid w:val="00653D54"/>
    <w:rsid w:val="00653E4A"/>
    <w:rsid w:val="006546DF"/>
    <w:rsid w:val="006552B9"/>
    <w:rsid w:val="006555A9"/>
    <w:rsid w:val="00655C8E"/>
    <w:rsid w:val="00655D28"/>
    <w:rsid w:val="00656392"/>
    <w:rsid w:val="006565D6"/>
    <w:rsid w:val="00656686"/>
    <w:rsid w:val="00656AE1"/>
    <w:rsid w:val="00656CD3"/>
    <w:rsid w:val="00656F76"/>
    <w:rsid w:val="0065796F"/>
    <w:rsid w:val="00657B4B"/>
    <w:rsid w:val="00657DD7"/>
    <w:rsid w:val="00657F4D"/>
    <w:rsid w:val="00660B2B"/>
    <w:rsid w:val="00660EA8"/>
    <w:rsid w:val="00661545"/>
    <w:rsid w:val="0066169C"/>
    <w:rsid w:val="00661770"/>
    <w:rsid w:val="0066177E"/>
    <w:rsid w:val="006619A3"/>
    <w:rsid w:val="00661A07"/>
    <w:rsid w:val="00661C3D"/>
    <w:rsid w:val="006624B9"/>
    <w:rsid w:val="00663910"/>
    <w:rsid w:val="00663A16"/>
    <w:rsid w:val="006645D1"/>
    <w:rsid w:val="006647EE"/>
    <w:rsid w:val="0066495A"/>
    <w:rsid w:val="00664B35"/>
    <w:rsid w:val="00664E6C"/>
    <w:rsid w:val="00665376"/>
    <w:rsid w:val="00665B70"/>
    <w:rsid w:val="00666651"/>
    <w:rsid w:val="0066669B"/>
    <w:rsid w:val="00666A9A"/>
    <w:rsid w:val="0066759E"/>
    <w:rsid w:val="006677BF"/>
    <w:rsid w:val="00667A0A"/>
    <w:rsid w:val="00667E9B"/>
    <w:rsid w:val="00670296"/>
    <w:rsid w:val="0067054F"/>
    <w:rsid w:val="00670766"/>
    <w:rsid w:val="006707C2"/>
    <w:rsid w:val="00670881"/>
    <w:rsid w:val="00670A1F"/>
    <w:rsid w:val="00671416"/>
    <w:rsid w:val="0067185F"/>
    <w:rsid w:val="00671AA0"/>
    <w:rsid w:val="00672110"/>
    <w:rsid w:val="00673303"/>
    <w:rsid w:val="006738B3"/>
    <w:rsid w:val="00673917"/>
    <w:rsid w:val="00674D65"/>
    <w:rsid w:val="006752E3"/>
    <w:rsid w:val="0067602B"/>
    <w:rsid w:val="00676A00"/>
    <w:rsid w:val="00677566"/>
    <w:rsid w:val="00680A0F"/>
    <w:rsid w:val="006811AF"/>
    <w:rsid w:val="006814AB"/>
    <w:rsid w:val="00681891"/>
    <w:rsid w:val="006833EE"/>
    <w:rsid w:val="0068350F"/>
    <w:rsid w:val="006841F1"/>
    <w:rsid w:val="00684B9C"/>
    <w:rsid w:val="00684BEB"/>
    <w:rsid w:val="00685D2C"/>
    <w:rsid w:val="00686A2A"/>
    <w:rsid w:val="00686DDD"/>
    <w:rsid w:val="00686E8E"/>
    <w:rsid w:val="0068714C"/>
    <w:rsid w:val="00687437"/>
    <w:rsid w:val="0068767B"/>
    <w:rsid w:val="00687B7D"/>
    <w:rsid w:val="006905D6"/>
    <w:rsid w:val="006909E7"/>
    <w:rsid w:val="00690D0D"/>
    <w:rsid w:val="006911CF"/>
    <w:rsid w:val="006925CF"/>
    <w:rsid w:val="006925D9"/>
    <w:rsid w:val="0069274C"/>
    <w:rsid w:val="00692A58"/>
    <w:rsid w:val="00692D44"/>
    <w:rsid w:val="00692E46"/>
    <w:rsid w:val="00693504"/>
    <w:rsid w:val="00693FC9"/>
    <w:rsid w:val="006941AD"/>
    <w:rsid w:val="006947AF"/>
    <w:rsid w:val="00694E87"/>
    <w:rsid w:val="00694F17"/>
    <w:rsid w:val="006956BA"/>
    <w:rsid w:val="00696B9B"/>
    <w:rsid w:val="0069725E"/>
    <w:rsid w:val="006973C5"/>
    <w:rsid w:val="00697A47"/>
    <w:rsid w:val="00697C94"/>
    <w:rsid w:val="00697D37"/>
    <w:rsid w:val="00697D47"/>
    <w:rsid w:val="006A008A"/>
    <w:rsid w:val="006A1AAB"/>
    <w:rsid w:val="006A1D4C"/>
    <w:rsid w:val="006A20AE"/>
    <w:rsid w:val="006A249D"/>
    <w:rsid w:val="006A333A"/>
    <w:rsid w:val="006A3886"/>
    <w:rsid w:val="006A48BB"/>
    <w:rsid w:val="006A4981"/>
    <w:rsid w:val="006A59DA"/>
    <w:rsid w:val="006A5C7F"/>
    <w:rsid w:val="006A60CD"/>
    <w:rsid w:val="006A64C5"/>
    <w:rsid w:val="006A7207"/>
    <w:rsid w:val="006A73FB"/>
    <w:rsid w:val="006A74C2"/>
    <w:rsid w:val="006A74C9"/>
    <w:rsid w:val="006A77C0"/>
    <w:rsid w:val="006B059E"/>
    <w:rsid w:val="006B06D9"/>
    <w:rsid w:val="006B0CD6"/>
    <w:rsid w:val="006B15FE"/>
    <w:rsid w:val="006B2694"/>
    <w:rsid w:val="006B33BA"/>
    <w:rsid w:val="006B3448"/>
    <w:rsid w:val="006B35AF"/>
    <w:rsid w:val="006B3A43"/>
    <w:rsid w:val="006B3EC6"/>
    <w:rsid w:val="006B471A"/>
    <w:rsid w:val="006B4832"/>
    <w:rsid w:val="006B4B27"/>
    <w:rsid w:val="006B5927"/>
    <w:rsid w:val="006B5AEC"/>
    <w:rsid w:val="006B5F73"/>
    <w:rsid w:val="006B6A3E"/>
    <w:rsid w:val="006B6AE3"/>
    <w:rsid w:val="006B6C14"/>
    <w:rsid w:val="006B70BF"/>
    <w:rsid w:val="006B72F0"/>
    <w:rsid w:val="006B7B6D"/>
    <w:rsid w:val="006C1B67"/>
    <w:rsid w:val="006C1BC9"/>
    <w:rsid w:val="006C2218"/>
    <w:rsid w:val="006C2286"/>
    <w:rsid w:val="006C23E6"/>
    <w:rsid w:val="006C2611"/>
    <w:rsid w:val="006C3ACF"/>
    <w:rsid w:val="006C3B5D"/>
    <w:rsid w:val="006C3D7B"/>
    <w:rsid w:val="006C3EAF"/>
    <w:rsid w:val="006C3F7C"/>
    <w:rsid w:val="006C414E"/>
    <w:rsid w:val="006C41C3"/>
    <w:rsid w:val="006C495A"/>
    <w:rsid w:val="006C4B71"/>
    <w:rsid w:val="006C5009"/>
    <w:rsid w:val="006C501E"/>
    <w:rsid w:val="006C5073"/>
    <w:rsid w:val="006C522E"/>
    <w:rsid w:val="006C5342"/>
    <w:rsid w:val="006C595A"/>
    <w:rsid w:val="006C596A"/>
    <w:rsid w:val="006C5BE2"/>
    <w:rsid w:val="006C6274"/>
    <w:rsid w:val="006C62F3"/>
    <w:rsid w:val="006C62FA"/>
    <w:rsid w:val="006C6F19"/>
    <w:rsid w:val="006C714D"/>
    <w:rsid w:val="006C7689"/>
    <w:rsid w:val="006C791B"/>
    <w:rsid w:val="006D011E"/>
    <w:rsid w:val="006D01B8"/>
    <w:rsid w:val="006D041E"/>
    <w:rsid w:val="006D06B9"/>
    <w:rsid w:val="006D0A0B"/>
    <w:rsid w:val="006D0C62"/>
    <w:rsid w:val="006D1F60"/>
    <w:rsid w:val="006D20A6"/>
    <w:rsid w:val="006D25BF"/>
    <w:rsid w:val="006D2781"/>
    <w:rsid w:val="006D2AB4"/>
    <w:rsid w:val="006D2BE9"/>
    <w:rsid w:val="006D3B7B"/>
    <w:rsid w:val="006D433D"/>
    <w:rsid w:val="006D46F7"/>
    <w:rsid w:val="006D4736"/>
    <w:rsid w:val="006D4B48"/>
    <w:rsid w:val="006D4B8A"/>
    <w:rsid w:val="006D4CDE"/>
    <w:rsid w:val="006D52C1"/>
    <w:rsid w:val="006D592B"/>
    <w:rsid w:val="006D5BA8"/>
    <w:rsid w:val="006D5FF3"/>
    <w:rsid w:val="006D6D28"/>
    <w:rsid w:val="006D706C"/>
    <w:rsid w:val="006D7C88"/>
    <w:rsid w:val="006D7ECC"/>
    <w:rsid w:val="006E068A"/>
    <w:rsid w:val="006E0775"/>
    <w:rsid w:val="006E1420"/>
    <w:rsid w:val="006E163B"/>
    <w:rsid w:val="006E23CF"/>
    <w:rsid w:val="006E2A80"/>
    <w:rsid w:val="006E30EC"/>
    <w:rsid w:val="006E3476"/>
    <w:rsid w:val="006E3ACF"/>
    <w:rsid w:val="006E4ED3"/>
    <w:rsid w:val="006E4F88"/>
    <w:rsid w:val="006E525A"/>
    <w:rsid w:val="006E5365"/>
    <w:rsid w:val="006E628E"/>
    <w:rsid w:val="006E711A"/>
    <w:rsid w:val="006E7643"/>
    <w:rsid w:val="006E767A"/>
    <w:rsid w:val="006F025A"/>
    <w:rsid w:val="006F059C"/>
    <w:rsid w:val="006F15CE"/>
    <w:rsid w:val="006F1E16"/>
    <w:rsid w:val="006F1FDF"/>
    <w:rsid w:val="006F2A5A"/>
    <w:rsid w:val="006F2CBC"/>
    <w:rsid w:val="006F2CE8"/>
    <w:rsid w:val="006F2DD1"/>
    <w:rsid w:val="006F2F1C"/>
    <w:rsid w:val="006F2F58"/>
    <w:rsid w:val="006F3843"/>
    <w:rsid w:val="006F43B8"/>
    <w:rsid w:val="006F458C"/>
    <w:rsid w:val="006F475C"/>
    <w:rsid w:val="006F574C"/>
    <w:rsid w:val="006F593C"/>
    <w:rsid w:val="006F59A7"/>
    <w:rsid w:val="006F6500"/>
    <w:rsid w:val="006F657A"/>
    <w:rsid w:val="006F7037"/>
    <w:rsid w:val="006F7554"/>
    <w:rsid w:val="006F7596"/>
    <w:rsid w:val="00700159"/>
    <w:rsid w:val="0070089D"/>
    <w:rsid w:val="007008B1"/>
    <w:rsid w:val="0070106B"/>
    <w:rsid w:val="0070152C"/>
    <w:rsid w:val="007023D6"/>
    <w:rsid w:val="0070301F"/>
    <w:rsid w:val="00703559"/>
    <w:rsid w:val="00703A3F"/>
    <w:rsid w:val="00703E8F"/>
    <w:rsid w:val="007049C9"/>
    <w:rsid w:val="007053BA"/>
    <w:rsid w:val="0070546F"/>
    <w:rsid w:val="0070659F"/>
    <w:rsid w:val="00707088"/>
    <w:rsid w:val="00707AC5"/>
    <w:rsid w:val="00707F9F"/>
    <w:rsid w:val="00710276"/>
    <w:rsid w:val="0071031C"/>
    <w:rsid w:val="00710650"/>
    <w:rsid w:val="00710720"/>
    <w:rsid w:val="00710DFA"/>
    <w:rsid w:val="00710E81"/>
    <w:rsid w:val="00711D0B"/>
    <w:rsid w:val="00712AC0"/>
    <w:rsid w:val="007130D8"/>
    <w:rsid w:val="007132A9"/>
    <w:rsid w:val="0071393E"/>
    <w:rsid w:val="007139C7"/>
    <w:rsid w:val="00713BF8"/>
    <w:rsid w:val="00713E1E"/>
    <w:rsid w:val="00714D6D"/>
    <w:rsid w:val="00714E4A"/>
    <w:rsid w:val="00715376"/>
    <w:rsid w:val="007153BF"/>
    <w:rsid w:val="00715506"/>
    <w:rsid w:val="00715996"/>
    <w:rsid w:val="00715D41"/>
    <w:rsid w:val="00716629"/>
    <w:rsid w:val="007166D4"/>
    <w:rsid w:val="00717260"/>
    <w:rsid w:val="0071753C"/>
    <w:rsid w:val="00717583"/>
    <w:rsid w:val="00717883"/>
    <w:rsid w:val="00717D48"/>
    <w:rsid w:val="0072079F"/>
    <w:rsid w:val="00720A0B"/>
    <w:rsid w:val="0072171F"/>
    <w:rsid w:val="007222D1"/>
    <w:rsid w:val="007224AB"/>
    <w:rsid w:val="0072345C"/>
    <w:rsid w:val="00723609"/>
    <w:rsid w:val="0072360F"/>
    <w:rsid w:val="007239DF"/>
    <w:rsid w:val="00723E11"/>
    <w:rsid w:val="00723F29"/>
    <w:rsid w:val="00724057"/>
    <w:rsid w:val="0072416C"/>
    <w:rsid w:val="00724221"/>
    <w:rsid w:val="00724440"/>
    <w:rsid w:val="00724571"/>
    <w:rsid w:val="00724737"/>
    <w:rsid w:val="00724833"/>
    <w:rsid w:val="00724A98"/>
    <w:rsid w:val="00725047"/>
    <w:rsid w:val="00725429"/>
    <w:rsid w:val="00725522"/>
    <w:rsid w:val="0072569A"/>
    <w:rsid w:val="00726299"/>
    <w:rsid w:val="007268BE"/>
    <w:rsid w:val="00726C24"/>
    <w:rsid w:val="00726CCE"/>
    <w:rsid w:val="00726CE9"/>
    <w:rsid w:val="00727432"/>
    <w:rsid w:val="007275E0"/>
    <w:rsid w:val="00727CEC"/>
    <w:rsid w:val="00727F2A"/>
    <w:rsid w:val="0073053B"/>
    <w:rsid w:val="00730AE0"/>
    <w:rsid w:val="0073103E"/>
    <w:rsid w:val="00731707"/>
    <w:rsid w:val="00731EE7"/>
    <w:rsid w:val="007320F2"/>
    <w:rsid w:val="00732941"/>
    <w:rsid w:val="00732B3D"/>
    <w:rsid w:val="00732C2E"/>
    <w:rsid w:val="00732CD3"/>
    <w:rsid w:val="00733E64"/>
    <w:rsid w:val="00734438"/>
    <w:rsid w:val="0073445A"/>
    <w:rsid w:val="0073486E"/>
    <w:rsid w:val="00734BA2"/>
    <w:rsid w:val="00734D74"/>
    <w:rsid w:val="0073523B"/>
    <w:rsid w:val="0073571B"/>
    <w:rsid w:val="00735B53"/>
    <w:rsid w:val="00735EC9"/>
    <w:rsid w:val="0073617D"/>
    <w:rsid w:val="007371FC"/>
    <w:rsid w:val="00737A2C"/>
    <w:rsid w:val="0074004E"/>
    <w:rsid w:val="007403ED"/>
    <w:rsid w:val="00740579"/>
    <w:rsid w:val="00740C74"/>
    <w:rsid w:val="00741022"/>
    <w:rsid w:val="007411A4"/>
    <w:rsid w:val="0074130C"/>
    <w:rsid w:val="00741962"/>
    <w:rsid w:val="00741967"/>
    <w:rsid w:val="00741C10"/>
    <w:rsid w:val="0074264E"/>
    <w:rsid w:val="007426A6"/>
    <w:rsid w:val="007429F7"/>
    <w:rsid w:val="00742A76"/>
    <w:rsid w:val="00742BD1"/>
    <w:rsid w:val="007436EF"/>
    <w:rsid w:val="007436F3"/>
    <w:rsid w:val="007438CD"/>
    <w:rsid w:val="00743CC3"/>
    <w:rsid w:val="0074412C"/>
    <w:rsid w:val="00744895"/>
    <w:rsid w:val="0074570D"/>
    <w:rsid w:val="00745CDA"/>
    <w:rsid w:val="0074642A"/>
    <w:rsid w:val="00746826"/>
    <w:rsid w:val="00746D6E"/>
    <w:rsid w:val="00747442"/>
    <w:rsid w:val="00750D69"/>
    <w:rsid w:val="00751476"/>
    <w:rsid w:val="00751557"/>
    <w:rsid w:val="007523DB"/>
    <w:rsid w:val="00752F23"/>
    <w:rsid w:val="00752F2A"/>
    <w:rsid w:val="00753BF1"/>
    <w:rsid w:val="00753F62"/>
    <w:rsid w:val="00754A21"/>
    <w:rsid w:val="00754FF1"/>
    <w:rsid w:val="007552C2"/>
    <w:rsid w:val="007553F8"/>
    <w:rsid w:val="00755407"/>
    <w:rsid w:val="00755630"/>
    <w:rsid w:val="007557F7"/>
    <w:rsid w:val="00755882"/>
    <w:rsid w:val="00755CBD"/>
    <w:rsid w:val="00755E6A"/>
    <w:rsid w:val="00756907"/>
    <w:rsid w:val="00756A88"/>
    <w:rsid w:val="00756EB0"/>
    <w:rsid w:val="00757131"/>
    <w:rsid w:val="00757784"/>
    <w:rsid w:val="00757863"/>
    <w:rsid w:val="00757B0A"/>
    <w:rsid w:val="00760401"/>
    <w:rsid w:val="00760528"/>
    <w:rsid w:val="00760D53"/>
    <w:rsid w:val="007610DF"/>
    <w:rsid w:val="007617A3"/>
    <w:rsid w:val="00761C76"/>
    <w:rsid w:val="007623F1"/>
    <w:rsid w:val="00762619"/>
    <w:rsid w:val="00762C1F"/>
    <w:rsid w:val="007638C2"/>
    <w:rsid w:val="00763A95"/>
    <w:rsid w:val="00764618"/>
    <w:rsid w:val="0076526B"/>
    <w:rsid w:val="007658D0"/>
    <w:rsid w:val="00766087"/>
    <w:rsid w:val="0076762F"/>
    <w:rsid w:val="007679A8"/>
    <w:rsid w:val="00767BBB"/>
    <w:rsid w:val="00770419"/>
    <w:rsid w:val="00770C60"/>
    <w:rsid w:val="00770CC9"/>
    <w:rsid w:val="0077105B"/>
    <w:rsid w:val="0077173A"/>
    <w:rsid w:val="0077188D"/>
    <w:rsid w:val="00771E33"/>
    <w:rsid w:val="00771E40"/>
    <w:rsid w:val="007728AF"/>
    <w:rsid w:val="00773380"/>
    <w:rsid w:val="00774A36"/>
    <w:rsid w:val="007758A4"/>
    <w:rsid w:val="00775B1C"/>
    <w:rsid w:val="0077671A"/>
    <w:rsid w:val="00777387"/>
    <w:rsid w:val="007778DB"/>
    <w:rsid w:val="007801E0"/>
    <w:rsid w:val="00780204"/>
    <w:rsid w:val="00780D3C"/>
    <w:rsid w:val="00781368"/>
    <w:rsid w:val="00781591"/>
    <w:rsid w:val="00781926"/>
    <w:rsid w:val="007819A2"/>
    <w:rsid w:val="00781A7C"/>
    <w:rsid w:val="00781AC1"/>
    <w:rsid w:val="00782006"/>
    <w:rsid w:val="0078251F"/>
    <w:rsid w:val="0078279F"/>
    <w:rsid w:val="00782C12"/>
    <w:rsid w:val="00783262"/>
    <w:rsid w:val="00783C20"/>
    <w:rsid w:val="00783C75"/>
    <w:rsid w:val="00783DA1"/>
    <w:rsid w:val="007841A9"/>
    <w:rsid w:val="007847A6"/>
    <w:rsid w:val="00784CF9"/>
    <w:rsid w:val="00785426"/>
    <w:rsid w:val="00785C0B"/>
    <w:rsid w:val="0078624B"/>
    <w:rsid w:val="0078624D"/>
    <w:rsid w:val="00786669"/>
    <w:rsid w:val="00786BE6"/>
    <w:rsid w:val="00786CFE"/>
    <w:rsid w:val="007872CE"/>
    <w:rsid w:val="00787523"/>
    <w:rsid w:val="00787577"/>
    <w:rsid w:val="00787607"/>
    <w:rsid w:val="007900EC"/>
    <w:rsid w:val="00790138"/>
    <w:rsid w:val="00790478"/>
    <w:rsid w:val="00790558"/>
    <w:rsid w:val="00790846"/>
    <w:rsid w:val="00790C7D"/>
    <w:rsid w:val="00790DF6"/>
    <w:rsid w:val="00790F4F"/>
    <w:rsid w:val="007910C7"/>
    <w:rsid w:val="00791477"/>
    <w:rsid w:val="00791875"/>
    <w:rsid w:val="00791E0B"/>
    <w:rsid w:val="00791F1D"/>
    <w:rsid w:val="00792194"/>
    <w:rsid w:val="0079302D"/>
    <w:rsid w:val="00793675"/>
    <w:rsid w:val="00793D29"/>
    <w:rsid w:val="007943EC"/>
    <w:rsid w:val="00794B16"/>
    <w:rsid w:val="00794F44"/>
    <w:rsid w:val="00794FC2"/>
    <w:rsid w:val="007956F5"/>
    <w:rsid w:val="00796582"/>
    <w:rsid w:val="0079678C"/>
    <w:rsid w:val="00796E32"/>
    <w:rsid w:val="00796EB2"/>
    <w:rsid w:val="00797282"/>
    <w:rsid w:val="007975CC"/>
    <w:rsid w:val="007A0C2C"/>
    <w:rsid w:val="007A186B"/>
    <w:rsid w:val="007A1A84"/>
    <w:rsid w:val="007A1D7D"/>
    <w:rsid w:val="007A26B6"/>
    <w:rsid w:val="007A35F5"/>
    <w:rsid w:val="007A36E2"/>
    <w:rsid w:val="007A3922"/>
    <w:rsid w:val="007A3F33"/>
    <w:rsid w:val="007A4069"/>
    <w:rsid w:val="007A46CD"/>
    <w:rsid w:val="007A4956"/>
    <w:rsid w:val="007A4CF9"/>
    <w:rsid w:val="007A50C6"/>
    <w:rsid w:val="007A53E2"/>
    <w:rsid w:val="007A5404"/>
    <w:rsid w:val="007A5A17"/>
    <w:rsid w:val="007A5FD5"/>
    <w:rsid w:val="007A716C"/>
    <w:rsid w:val="007B007C"/>
    <w:rsid w:val="007B0286"/>
    <w:rsid w:val="007B02A2"/>
    <w:rsid w:val="007B0F54"/>
    <w:rsid w:val="007B10F2"/>
    <w:rsid w:val="007B2104"/>
    <w:rsid w:val="007B24C6"/>
    <w:rsid w:val="007B265B"/>
    <w:rsid w:val="007B2CF5"/>
    <w:rsid w:val="007B30B0"/>
    <w:rsid w:val="007B31FD"/>
    <w:rsid w:val="007B3B03"/>
    <w:rsid w:val="007B3E36"/>
    <w:rsid w:val="007B443A"/>
    <w:rsid w:val="007B4465"/>
    <w:rsid w:val="007B4C2B"/>
    <w:rsid w:val="007B4E14"/>
    <w:rsid w:val="007B4E4D"/>
    <w:rsid w:val="007B4F79"/>
    <w:rsid w:val="007B532E"/>
    <w:rsid w:val="007B557E"/>
    <w:rsid w:val="007B57E9"/>
    <w:rsid w:val="007B58FF"/>
    <w:rsid w:val="007B5A12"/>
    <w:rsid w:val="007B5A6A"/>
    <w:rsid w:val="007B5D2B"/>
    <w:rsid w:val="007B5F75"/>
    <w:rsid w:val="007B6017"/>
    <w:rsid w:val="007B603D"/>
    <w:rsid w:val="007B624B"/>
    <w:rsid w:val="007B6A0E"/>
    <w:rsid w:val="007B752B"/>
    <w:rsid w:val="007C0189"/>
    <w:rsid w:val="007C27FE"/>
    <w:rsid w:val="007C2EE2"/>
    <w:rsid w:val="007C3A0A"/>
    <w:rsid w:val="007C3AC6"/>
    <w:rsid w:val="007C3BF5"/>
    <w:rsid w:val="007C3E07"/>
    <w:rsid w:val="007C3E7C"/>
    <w:rsid w:val="007C4132"/>
    <w:rsid w:val="007C4C37"/>
    <w:rsid w:val="007C4F08"/>
    <w:rsid w:val="007C602D"/>
    <w:rsid w:val="007C6DE9"/>
    <w:rsid w:val="007C7DB6"/>
    <w:rsid w:val="007D05C9"/>
    <w:rsid w:val="007D0F1F"/>
    <w:rsid w:val="007D109C"/>
    <w:rsid w:val="007D1464"/>
    <w:rsid w:val="007D19AB"/>
    <w:rsid w:val="007D19BD"/>
    <w:rsid w:val="007D1D6E"/>
    <w:rsid w:val="007D24DA"/>
    <w:rsid w:val="007D38BE"/>
    <w:rsid w:val="007D585C"/>
    <w:rsid w:val="007D7066"/>
    <w:rsid w:val="007D713E"/>
    <w:rsid w:val="007D73AE"/>
    <w:rsid w:val="007E021A"/>
    <w:rsid w:val="007E08AF"/>
    <w:rsid w:val="007E0BB1"/>
    <w:rsid w:val="007E0C13"/>
    <w:rsid w:val="007E13C5"/>
    <w:rsid w:val="007E159B"/>
    <w:rsid w:val="007E1B0D"/>
    <w:rsid w:val="007E1FEB"/>
    <w:rsid w:val="007E217B"/>
    <w:rsid w:val="007E3095"/>
    <w:rsid w:val="007E30DA"/>
    <w:rsid w:val="007E381F"/>
    <w:rsid w:val="007E41F0"/>
    <w:rsid w:val="007E4805"/>
    <w:rsid w:val="007E4AE9"/>
    <w:rsid w:val="007E515B"/>
    <w:rsid w:val="007E588D"/>
    <w:rsid w:val="007E6536"/>
    <w:rsid w:val="007E71CD"/>
    <w:rsid w:val="007E7631"/>
    <w:rsid w:val="007E7AA2"/>
    <w:rsid w:val="007F07A1"/>
    <w:rsid w:val="007F087A"/>
    <w:rsid w:val="007F124D"/>
    <w:rsid w:val="007F178C"/>
    <w:rsid w:val="007F1D15"/>
    <w:rsid w:val="007F1D1B"/>
    <w:rsid w:val="007F227E"/>
    <w:rsid w:val="007F2428"/>
    <w:rsid w:val="007F28E7"/>
    <w:rsid w:val="007F2E13"/>
    <w:rsid w:val="007F2EBA"/>
    <w:rsid w:val="007F2F96"/>
    <w:rsid w:val="007F40CF"/>
    <w:rsid w:val="007F43BA"/>
    <w:rsid w:val="007F4401"/>
    <w:rsid w:val="007F49D9"/>
    <w:rsid w:val="007F4C77"/>
    <w:rsid w:val="007F5241"/>
    <w:rsid w:val="007F537B"/>
    <w:rsid w:val="007F57C1"/>
    <w:rsid w:val="007F60DB"/>
    <w:rsid w:val="007F6419"/>
    <w:rsid w:val="007F68F0"/>
    <w:rsid w:val="007F6956"/>
    <w:rsid w:val="007F7225"/>
    <w:rsid w:val="007F7E67"/>
    <w:rsid w:val="0080014E"/>
    <w:rsid w:val="00800227"/>
    <w:rsid w:val="00800DC6"/>
    <w:rsid w:val="008013D5"/>
    <w:rsid w:val="00801CE4"/>
    <w:rsid w:val="0080239B"/>
    <w:rsid w:val="00802578"/>
    <w:rsid w:val="008035A9"/>
    <w:rsid w:val="00803723"/>
    <w:rsid w:val="00803E40"/>
    <w:rsid w:val="008045B5"/>
    <w:rsid w:val="008066EE"/>
    <w:rsid w:val="00807190"/>
    <w:rsid w:val="0080732C"/>
    <w:rsid w:val="008073D4"/>
    <w:rsid w:val="00807489"/>
    <w:rsid w:val="00807824"/>
    <w:rsid w:val="00807852"/>
    <w:rsid w:val="00807B75"/>
    <w:rsid w:val="00810385"/>
    <w:rsid w:val="00810C48"/>
    <w:rsid w:val="008118B3"/>
    <w:rsid w:val="008118E5"/>
    <w:rsid w:val="00811E1C"/>
    <w:rsid w:val="008120C6"/>
    <w:rsid w:val="0081274A"/>
    <w:rsid w:val="00812B5C"/>
    <w:rsid w:val="0081363A"/>
    <w:rsid w:val="00813884"/>
    <w:rsid w:val="00813EED"/>
    <w:rsid w:val="0081436B"/>
    <w:rsid w:val="00814477"/>
    <w:rsid w:val="008144B2"/>
    <w:rsid w:val="00814D76"/>
    <w:rsid w:val="00814E5C"/>
    <w:rsid w:val="008151F5"/>
    <w:rsid w:val="00815517"/>
    <w:rsid w:val="008156F3"/>
    <w:rsid w:val="00815D63"/>
    <w:rsid w:val="008160B5"/>
    <w:rsid w:val="00816793"/>
    <w:rsid w:val="00816A46"/>
    <w:rsid w:val="00816E05"/>
    <w:rsid w:val="0081754A"/>
    <w:rsid w:val="00820FB1"/>
    <w:rsid w:val="00821057"/>
    <w:rsid w:val="00822237"/>
    <w:rsid w:val="0082253B"/>
    <w:rsid w:val="00822A4A"/>
    <w:rsid w:val="00823106"/>
    <w:rsid w:val="008232CE"/>
    <w:rsid w:val="00823305"/>
    <w:rsid w:val="00823322"/>
    <w:rsid w:val="0082445A"/>
    <w:rsid w:val="00824CEB"/>
    <w:rsid w:val="00825218"/>
    <w:rsid w:val="00825B42"/>
    <w:rsid w:val="00825D86"/>
    <w:rsid w:val="00825E98"/>
    <w:rsid w:val="00826004"/>
    <w:rsid w:val="008274AE"/>
    <w:rsid w:val="00827C9A"/>
    <w:rsid w:val="00827DFB"/>
    <w:rsid w:val="00830B37"/>
    <w:rsid w:val="00830FB4"/>
    <w:rsid w:val="008315D3"/>
    <w:rsid w:val="00831A78"/>
    <w:rsid w:val="00831E1F"/>
    <w:rsid w:val="00831EF4"/>
    <w:rsid w:val="00832217"/>
    <w:rsid w:val="0083223C"/>
    <w:rsid w:val="0083241A"/>
    <w:rsid w:val="008327F0"/>
    <w:rsid w:val="00832A5A"/>
    <w:rsid w:val="0083306E"/>
    <w:rsid w:val="00833133"/>
    <w:rsid w:val="00833646"/>
    <w:rsid w:val="00833B63"/>
    <w:rsid w:val="008342C5"/>
    <w:rsid w:val="008346B3"/>
    <w:rsid w:val="00834D1A"/>
    <w:rsid w:val="00834DAC"/>
    <w:rsid w:val="00834E57"/>
    <w:rsid w:val="00834FF1"/>
    <w:rsid w:val="008353B1"/>
    <w:rsid w:val="008353B7"/>
    <w:rsid w:val="008353F5"/>
    <w:rsid w:val="00835CC3"/>
    <w:rsid w:val="00835E90"/>
    <w:rsid w:val="00835EFC"/>
    <w:rsid w:val="0083632F"/>
    <w:rsid w:val="0083655C"/>
    <w:rsid w:val="008366AA"/>
    <w:rsid w:val="00836BA3"/>
    <w:rsid w:val="00836DD1"/>
    <w:rsid w:val="00836FAB"/>
    <w:rsid w:val="00837783"/>
    <w:rsid w:val="008378C9"/>
    <w:rsid w:val="008400D4"/>
    <w:rsid w:val="00840434"/>
    <w:rsid w:val="0084064F"/>
    <w:rsid w:val="008408EB"/>
    <w:rsid w:val="00840E59"/>
    <w:rsid w:val="008412DB"/>
    <w:rsid w:val="0084182F"/>
    <w:rsid w:val="00842BE9"/>
    <w:rsid w:val="00842C13"/>
    <w:rsid w:val="00843B99"/>
    <w:rsid w:val="0084418E"/>
    <w:rsid w:val="008445C9"/>
    <w:rsid w:val="0084483A"/>
    <w:rsid w:val="00845016"/>
    <w:rsid w:val="00845FAD"/>
    <w:rsid w:val="00846656"/>
    <w:rsid w:val="00846C14"/>
    <w:rsid w:val="00846D48"/>
    <w:rsid w:val="00846F04"/>
    <w:rsid w:val="008470C7"/>
    <w:rsid w:val="00847357"/>
    <w:rsid w:val="008505E1"/>
    <w:rsid w:val="008516F5"/>
    <w:rsid w:val="008519BA"/>
    <w:rsid w:val="008523D8"/>
    <w:rsid w:val="00852802"/>
    <w:rsid w:val="00852866"/>
    <w:rsid w:val="00852C66"/>
    <w:rsid w:val="00854D2B"/>
    <w:rsid w:val="00855B04"/>
    <w:rsid w:val="00855DB2"/>
    <w:rsid w:val="008561FA"/>
    <w:rsid w:val="008561FE"/>
    <w:rsid w:val="00856C8D"/>
    <w:rsid w:val="008571A8"/>
    <w:rsid w:val="00857837"/>
    <w:rsid w:val="00857843"/>
    <w:rsid w:val="00857D69"/>
    <w:rsid w:val="0086007B"/>
    <w:rsid w:val="008600CD"/>
    <w:rsid w:val="00860E82"/>
    <w:rsid w:val="008618FB"/>
    <w:rsid w:val="0086211F"/>
    <w:rsid w:val="00862268"/>
    <w:rsid w:val="00862CB7"/>
    <w:rsid w:val="00863773"/>
    <w:rsid w:val="00863D1A"/>
    <w:rsid w:val="0086415A"/>
    <w:rsid w:val="0086505D"/>
    <w:rsid w:val="00865182"/>
    <w:rsid w:val="00866429"/>
    <w:rsid w:val="008669DC"/>
    <w:rsid w:val="00867497"/>
    <w:rsid w:val="00867F6F"/>
    <w:rsid w:val="0087029D"/>
    <w:rsid w:val="00870DAA"/>
    <w:rsid w:val="00871285"/>
    <w:rsid w:val="00871C45"/>
    <w:rsid w:val="0087263A"/>
    <w:rsid w:val="008729DA"/>
    <w:rsid w:val="00872A93"/>
    <w:rsid w:val="00873291"/>
    <w:rsid w:val="00873583"/>
    <w:rsid w:val="008736EC"/>
    <w:rsid w:val="008738C9"/>
    <w:rsid w:val="00873941"/>
    <w:rsid w:val="00873E49"/>
    <w:rsid w:val="0087467E"/>
    <w:rsid w:val="00874798"/>
    <w:rsid w:val="00874BF6"/>
    <w:rsid w:val="00874C00"/>
    <w:rsid w:val="00874DED"/>
    <w:rsid w:val="00874F19"/>
    <w:rsid w:val="008757CF"/>
    <w:rsid w:val="00875ADA"/>
    <w:rsid w:val="00875DE8"/>
    <w:rsid w:val="008761EC"/>
    <w:rsid w:val="008762FB"/>
    <w:rsid w:val="00876588"/>
    <w:rsid w:val="008770B3"/>
    <w:rsid w:val="00877D8E"/>
    <w:rsid w:val="00880DA4"/>
    <w:rsid w:val="00880DA5"/>
    <w:rsid w:val="00880FA3"/>
    <w:rsid w:val="00881759"/>
    <w:rsid w:val="00881C8D"/>
    <w:rsid w:val="00881D35"/>
    <w:rsid w:val="00881F07"/>
    <w:rsid w:val="008822CC"/>
    <w:rsid w:val="008824DC"/>
    <w:rsid w:val="00882781"/>
    <w:rsid w:val="008827BC"/>
    <w:rsid w:val="00883333"/>
    <w:rsid w:val="008839A3"/>
    <w:rsid w:val="00883AF1"/>
    <w:rsid w:val="00884107"/>
    <w:rsid w:val="0088420E"/>
    <w:rsid w:val="00884918"/>
    <w:rsid w:val="008850C1"/>
    <w:rsid w:val="00886BDE"/>
    <w:rsid w:val="00887389"/>
    <w:rsid w:val="00887822"/>
    <w:rsid w:val="00887D0F"/>
    <w:rsid w:val="00887EDA"/>
    <w:rsid w:val="008904CE"/>
    <w:rsid w:val="00891131"/>
    <w:rsid w:val="008915E0"/>
    <w:rsid w:val="00891EB8"/>
    <w:rsid w:val="00891F8A"/>
    <w:rsid w:val="00892844"/>
    <w:rsid w:val="008935C7"/>
    <w:rsid w:val="00893846"/>
    <w:rsid w:val="00893B67"/>
    <w:rsid w:val="00894513"/>
    <w:rsid w:val="008946DA"/>
    <w:rsid w:val="0089601C"/>
    <w:rsid w:val="00896606"/>
    <w:rsid w:val="0089747C"/>
    <w:rsid w:val="008A0327"/>
    <w:rsid w:val="008A0CD7"/>
    <w:rsid w:val="008A11F6"/>
    <w:rsid w:val="008A167A"/>
    <w:rsid w:val="008A19DA"/>
    <w:rsid w:val="008A1A18"/>
    <w:rsid w:val="008A1E9F"/>
    <w:rsid w:val="008A1FDD"/>
    <w:rsid w:val="008A2824"/>
    <w:rsid w:val="008A2E64"/>
    <w:rsid w:val="008A335E"/>
    <w:rsid w:val="008A3E9F"/>
    <w:rsid w:val="008A4562"/>
    <w:rsid w:val="008A4A7B"/>
    <w:rsid w:val="008A4C05"/>
    <w:rsid w:val="008A4E0D"/>
    <w:rsid w:val="008A501E"/>
    <w:rsid w:val="008A58A4"/>
    <w:rsid w:val="008A5D6F"/>
    <w:rsid w:val="008A6439"/>
    <w:rsid w:val="008A6D5E"/>
    <w:rsid w:val="008A731C"/>
    <w:rsid w:val="008A7A46"/>
    <w:rsid w:val="008B03BC"/>
    <w:rsid w:val="008B04CC"/>
    <w:rsid w:val="008B0EC5"/>
    <w:rsid w:val="008B0F0C"/>
    <w:rsid w:val="008B112D"/>
    <w:rsid w:val="008B1A66"/>
    <w:rsid w:val="008B2759"/>
    <w:rsid w:val="008B30F4"/>
    <w:rsid w:val="008B331E"/>
    <w:rsid w:val="008B342F"/>
    <w:rsid w:val="008B3829"/>
    <w:rsid w:val="008B3E1A"/>
    <w:rsid w:val="008B3E69"/>
    <w:rsid w:val="008B4306"/>
    <w:rsid w:val="008B4D4B"/>
    <w:rsid w:val="008B5DB6"/>
    <w:rsid w:val="008B5E31"/>
    <w:rsid w:val="008B632C"/>
    <w:rsid w:val="008B6553"/>
    <w:rsid w:val="008B65F7"/>
    <w:rsid w:val="008B761C"/>
    <w:rsid w:val="008B7857"/>
    <w:rsid w:val="008B7DCF"/>
    <w:rsid w:val="008C06B4"/>
    <w:rsid w:val="008C0C32"/>
    <w:rsid w:val="008C1413"/>
    <w:rsid w:val="008C1AEE"/>
    <w:rsid w:val="008C1F6A"/>
    <w:rsid w:val="008C2110"/>
    <w:rsid w:val="008C2216"/>
    <w:rsid w:val="008C2349"/>
    <w:rsid w:val="008C35C3"/>
    <w:rsid w:val="008C36E3"/>
    <w:rsid w:val="008C37E1"/>
    <w:rsid w:val="008C3854"/>
    <w:rsid w:val="008C3FB5"/>
    <w:rsid w:val="008C43C4"/>
    <w:rsid w:val="008C44A9"/>
    <w:rsid w:val="008C46D1"/>
    <w:rsid w:val="008C4B8D"/>
    <w:rsid w:val="008C67DF"/>
    <w:rsid w:val="008C70AE"/>
    <w:rsid w:val="008C7171"/>
    <w:rsid w:val="008C7540"/>
    <w:rsid w:val="008C7B44"/>
    <w:rsid w:val="008D016A"/>
    <w:rsid w:val="008D05B6"/>
    <w:rsid w:val="008D0D54"/>
    <w:rsid w:val="008D1688"/>
    <w:rsid w:val="008D1983"/>
    <w:rsid w:val="008D1EFC"/>
    <w:rsid w:val="008D21A6"/>
    <w:rsid w:val="008D23ED"/>
    <w:rsid w:val="008D2463"/>
    <w:rsid w:val="008D273F"/>
    <w:rsid w:val="008D286C"/>
    <w:rsid w:val="008D29CC"/>
    <w:rsid w:val="008D2E60"/>
    <w:rsid w:val="008D3BF4"/>
    <w:rsid w:val="008D3D55"/>
    <w:rsid w:val="008D45C8"/>
    <w:rsid w:val="008D47F8"/>
    <w:rsid w:val="008D4CB1"/>
    <w:rsid w:val="008D61F9"/>
    <w:rsid w:val="008D66A6"/>
    <w:rsid w:val="008D6A9C"/>
    <w:rsid w:val="008D6C2B"/>
    <w:rsid w:val="008D73FE"/>
    <w:rsid w:val="008E0007"/>
    <w:rsid w:val="008E023B"/>
    <w:rsid w:val="008E08F4"/>
    <w:rsid w:val="008E145C"/>
    <w:rsid w:val="008E287F"/>
    <w:rsid w:val="008E2B75"/>
    <w:rsid w:val="008E2F85"/>
    <w:rsid w:val="008E394E"/>
    <w:rsid w:val="008E3D69"/>
    <w:rsid w:val="008E409E"/>
    <w:rsid w:val="008E4149"/>
    <w:rsid w:val="008E4A72"/>
    <w:rsid w:val="008E53B4"/>
    <w:rsid w:val="008E5525"/>
    <w:rsid w:val="008E5780"/>
    <w:rsid w:val="008E5EEB"/>
    <w:rsid w:val="008E61E7"/>
    <w:rsid w:val="008E6316"/>
    <w:rsid w:val="008E634D"/>
    <w:rsid w:val="008F0305"/>
    <w:rsid w:val="008F03B4"/>
    <w:rsid w:val="008F0A5F"/>
    <w:rsid w:val="008F0F01"/>
    <w:rsid w:val="008F10D5"/>
    <w:rsid w:val="008F10FB"/>
    <w:rsid w:val="008F1312"/>
    <w:rsid w:val="008F1872"/>
    <w:rsid w:val="008F19D9"/>
    <w:rsid w:val="008F25CD"/>
    <w:rsid w:val="008F3041"/>
    <w:rsid w:val="008F315A"/>
    <w:rsid w:val="008F36C1"/>
    <w:rsid w:val="008F3D10"/>
    <w:rsid w:val="008F3E1E"/>
    <w:rsid w:val="008F48DA"/>
    <w:rsid w:val="008F5015"/>
    <w:rsid w:val="008F5064"/>
    <w:rsid w:val="008F5C76"/>
    <w:rsid w:val="008F68D5"/>
    <w:rsid w:val="008F6E2D"/>
    <w:rsid w:val="008F77DD"/>
    <w:rsid w:val="008F7E06"/>
    <w:rsid w:val="008F7F33"/>
    <w:rsid w:val="009003E4"/>
    <w:rsid w:val="00900EDF"/>
    <w:rsid w:val="009015A1"/>
    <w:rsid w:val="00901E85"/>
    <w:rsid w:val="00902DCF"/>
    <w:rsid w:val="009038D4"/>
    <w:rsid w:val="00905339"/>
    <w:rsid w:val="0090590A"/>
    <w:rsid w:val="00905AE6"/>
    <w:rsid w:val="0090601C"/>
    <w:rsid w:val="0090677C"/>
    <w:rsid w:val="009068E6"/>
    <w:rsid w:val="00906975"/>
    <w:rsid w:val="00906BC6"/>
    <w:rsid w:val="00906D3A"/>
    <w:rsid w:val="0090712F"/>
    <w:rsid w:val="009071CE"/>
    <w:rsid w:val="00910036"/>
    <w:rsid w:val="00910BF2"/>
    <w:rsid w:val="00911CA8"/>
    <w:rsid w:val="00912339"/>
    <w:rsid w:val="00912881"/>
    <w:rsid w:val="009129FA"/>
    <w:rsid w:val="00913D76"/>
    <w:rsid w:val="0091444D"/>
    <w:rsid w:val="00914EBB"/>
    <w:rsid w:val="00915178"/>
    <w:rsid w:val="00916FF8"/>
    <w:rsid w:val="00917F28"/>
    <w:rsid w:val="00920364"/>
    <w:rsid w:val="00920D4B"/>
    <w:rsid w:val="00920E25"/>
    <w:rsid w:val="0092239D"/>
    <w:rsid w:val="00922603"/>
    <w:rsid w:val="00922C62"/>
    <w:rsid w:val="009237B6"/>
    <w:rsid w:val="00923ABE"/>
    <w:rsid w:val="00923ACC"/>
    <w:rsid w:val="00923C05"/>
    <w:rsid w:val="00923E4C"/>
    <w:rsid w:val="009254D2"/>
    <w:rsid w:val="00925D94"/>
    <w:rsid w:val="00925E04"/>
    <w:rsid w:val="0092604E"/>
    <w:rsid w:val="0092618F"/>
    <w:rsid w:val="009269FE"/>
    <w:rsid w:val="00926E5D"/>
    <w:rsid w:val="009273E0"/>
    <w:rsid w:val="00927ECD"/>
    <w:rsid w:val="009307F3"/>
    <w:rsid w:val="00930D36"/>
    <w:rsid w:val="00931612"/>
    <w:rsid w:val="009316C8"/>
    <w:rsid w:val="00931B95"/>
    <w:rsid w:val="009322AB"/>
    <w:rsid w:val="00932766"/>
    <w:rsid w:val="00932CAC"/>
    <w:rsid w:val="0093360A"/>
    <w:rsid w:val="0093366E"/>
    <w:rsid w:val="0093409B"/>
    <w:rsid w:val="00934484"/>
    <w:rsid w:val="00934537"/>
    <w:rsid w:val="009346CF"/>
    <w:rsid w:val="00934BDD"/>
    <w:rsid w:val="00935ACA"/>
    <w:rsid w:val="00935E09"/>
    <w:rsid w:val="00935E7E"/>
    <w:rsid w:val="0093642C"/>
    <w:rsid w:val="00936718"/>
    <w:rsid w:val="00936F9F"/>
    <w:rsid w:val="009371E1"/>
    <w:rsid w:val="009375B7"/>
    <w:rsid w:val="009376CF"/>
    <w:rsid w:val="00937E2C"/>
    <w:rsid w:val="00937F19"/>
    <w:rsid w:val="00937FAD"/>
    <w:rsid w:val="00940533"/>
    <w:rsid w:val="009406AB"/>
    <w:rsid w:val="009409D6"/>
    <w:rsid w:val="00940B35"/>
    <w:rsid w:val="00940ED2"/>
    <w:rsid w:val="009413F8"/>
    <w:rsid w:val="00941A8B"/>
    <w:rsid w:val="00941E43"/>
    <w:rsid w:val="0094202B"/>
    <w:rsid w:val="00942528"/>
    <w:rsid w:val="0094281C"/>
    <w:rsid w:val="009441F5"/>
    <w:rsid w:val="00944DA3"/>
    <w:rsid w:val="00944E4B"/>
    <w:rsid w:val="00944E51"/>
    <w:rsid w:val="0094524E"/>
    <w:rsid w:val="00945E06"/>
    <w:rsid w:val="00945E37"/>
    <w:rsid w:val="009477B4"/>
    <w:rsid w:val="009500D9"/>
    <w:rsid w:val="00950ACD"/>
    <w:rsid w:val="00950C93"/>
    <w:rsid w:val="009511D8"/>
    <w:rsid w:val="00951303"/>
    <w:rsid w:val="009518FB"/>
    <w:rsid w:val="009519AF"/>
    <w:rsid w:val="00951E0E"/>
    <w:rsid w:val="00952E20"/>
    <w:rsid w:val="009531DB"/>
    <w:rsid w:val="0095394B"/>
    <w:rsid w:val="00954EE2"/>
    <w:rsid w:val="009550C9"/>
    <w:rsid w:val="009561DA"/>
    <w:rsid w:val="00956ED6"/>
    <w:rsid w:val="009571C3"/>
    <w:rsid w:val="00957522"/>
    <w:rsid w:val="0095798E"/>
    <w:rsid w:val="00957FDB"/>
    <w:rsid w:val="00960E4D"/>
    <w:rsid w:val="00961636"/>
    <w:rsid w:val="00961A61"/>
    <w:rsid w:val="00961A80"/>
    <w:rsid w:val="0096225D"/>
    <w:rsid w:val="00962812"/>
    <w:rsid w:val="00962838"/>
    <w:rsid w:val="00962EC0"/>
    <w:rsid w:val="009638D5"/>
    <w:rsid w:val="00963CAF"/>
    <w:rsid w:val="00963E9B"/>
    <w:rsid w:val="0096421B"/>
    <w:rsid w:val="0096438E"/>
    <w:rsid w:val="009647D1"/>
    <w:rsid w:val="00964CC7"/>
    <w:rsid w:val="00965821"/>
    <w:rsid w:val="009659C7"/>
    <w:rsid w:val="00965BD6"/>
    <w:rsid w:val="00965E7C"/>
    <w:rsid w:val="009665AE"/>
    <w:rsid w:val="00966930"/>
    <w:rsid w:val="00966AB7"/>
    <w:rsid w:val="009678FD"/>
    <w:rsid w:val="00967D38"/>
    <w:rsid w:val="00970656"/>
    <w:rsid w:val="00970773"/>
    <w:rsid w:val="00972309"/>
    <w:rsid w:val="00972605"/>
    <w:rsid w:val="0097293A"/>
    <w:rsid w:val="00973190"/>
    <w:rsid w:val="00973E53"/>
    <w:rsid w:val="0097427A"/>
    <w:rsid w:val="00975AA8"/>
    <w:rsid w:val="00975F99"/>
    <w:rsid w:val="0097623F"/>
    <w:rsid w:val="00976F42"/>
    <w:rsid w:val="009770A9"/>
    <w:rsid w:val="0097721D"/>
    <w:rsid w:val="009773C6"/>
    <w:rsid w:val="009774FD"/>
    <w:rsid w:val="00977B64"/>
    <w:rsid w:val="00977D42"/>
    <w:rsid w:val="00980472"/>
    <w:rsid w:val="00980F41"/>
    <w:rsid w:val="0098183B"/>
    <w:rsid w:val="00981C53"/>
    <w:rsid w:val="009834B4"/>
    <w:rsid w:val="0098384A"/>
    <w:rsid w:val="00983957"/>
    <w:rsid w:val="009843E0"/>
    <w:rsid w:val="009846E7"/>
    <w:rsid w:val="00984B36"/>
    <w:rsid w:val="00984E70"/>
    <w:rsid w:val="00985018"/>
    <w:rsid w:val="0098512E"/>
    <w:rsid w:val="009853DC"/>
    <w:rsid w:val="00985D58"/>
    <w:rsid w:val="009868B6"/>
    <w:rsid w:val="00986C63"/>
    <w:rsid w:val="00987442"/>
    <w:rsid w:val="00987722"/>
    <w:rsid w:val="00987A95"/>
    <w:rsid w:val="009900CB"/>
    <w:rsid w:val="0099058F"/>
    <w:rsid w:val="009911B5"/>
    <w:rsid w:val="00991688"/>
    <w:rsid w:val="00991964"/>
    <w:rsid w:val="00991D5C"/>
    <w:rsid w:val="0099281B"/>
    <w:rsid w:val="0099299A"/>
    <w:rsid w:val="00992AB3"/>
    <w:rsid w:val="00992E5F"/>
    <w:rsid w:val="009940D4"/>
    <w:rsid w:val="009945E4"/>
    <w:rsid w:val="009949F9"/>
    <w:rsid w:val="00994C4E"/>
    <w:rsid w:val="00994CFA"/>
    <w:rsid w:val="00994D18"/>
    <w:rsid w:val="00994E8E"/>
    <w:rsid w:val="00996756"/>
    <w:rsid w:val="00996F4B"/>
    <w:rsid w:val="00996FD8"/>
    <w:rsid w:val="00997127"/>
    <w:rsid w:val="00997519"/>
    <w:rsid w:val="009A06FB"/>
    <w:rsid w:val="009A08C8"/>
    <w:rsid w:val="009A0C4B"/>
    <w:rsid w:val="009A11BF"/>
    <w:rsid w:val="009A1CF7"/>
    <w:rsid w:val="009A1D8D"/>
    <w:rsid w:val="009A2466"/>
    <w:rsid w:val="009A2C73"/>
    <w:rsid w:val="009A3322"/>
    <w:rsid w:val="009A39AD"/>
    <w:rsid w:val="009A4076"/>
    <w:rsid w:val="009A466C"/>
    <w:rsid w:val="009A48FB"/>
    <w:rsid w:val="009A4CAE"/>
    <w:rsid w:val="009A53CE"/>
    <w:rsid w:val="009A57A7"/>
    <w:rsid w:val="009A7097"/>
    <w:rsid w:val="009B0632"/>
    <w:rsid w:val="009B0B61"/>
    <w:rsid w:val="009B1331"/>
    <w:rsid w:val="009B141E"/>
    <w:rsid w:val="009B1A06"/>
    <w:rsid w:val="009B1A9F"/>
    <w:rsid w:val="009B1F18"/>
    <w:rsid w:val="009B21F6"/>
    <w:rsid w:val="009B24F7"/>
    <w:rsid w:val="009B25D3"/>
    <w:rsid w:val="009B2A48"/>
    <w:rsid w:val="009B32DD"/>
    <w:rsid w:val="009B35B9"/>
    <w:rsid w:val="009B3BEE"/>
    <w:rsid w:val="009B53BB"/>
    <w:rsid w:val="009B58AA"/>
    <w:rsid w:val="009B5D29"/>
    <w:rsid w:val="009B60A2"/>
    <w:rsid w:val="009B6330"/>
    <w:rsid w:val="009B6425"/>
    <w:rsid w:val="009B662C"/>
    <w:rsid w:val="009B6BAF"/>
    <w:rsid w:val="009B706E"/>
    <w:rsid w:val="009C060C"/>
    <w:rsid w:val="009C0879"/>
    <w:rsid w:val="009C08C3"/>
    <w:rsid w:val="009C0EF1"/>
    <w:rsid w:val="009C12C4"/>
    <w:rsid w:val="009C13CE"/>
    <w:rsid w:val="009C19D2"/>
    <w:rsid w:val="009C1BED"/>
    <w:rsid w:val="009C2916"/>
    <w:rsid w:val="009C2C69"/>
    <w:rsid w:val="009C2D71"/>
    <w:rsid w:val="009C2E90"/>
    <w:rsid w:val="009C3AE0"/>
    <w:rsid w:val="009C3FC9"/>
    <w:rsid w:val="009C4169"/>
    <w:rsid w:val="009C4230"/>
    <w:rsid w:val="009C45DC"/>
    <w:rsid w:val="009C4A7B"/>
    <w:rsid w:val="009C5382"/>
    <w:rsid w:val="009C5EFA"/>
    <w:rsid w:val="009C6375"/>
    <w:rsid w:val="009C6685"/>
    <w:rsid w:val="009D017B"/>
    <w:rsid w:val="009D0631"/>
    <w:rsid w:val="009D0F7E"/>
    <w:rsid w:val="009D1B7C"/>
    <w:rsid w:val="009D1CBC"/>
    <w:rsid w:val="009D2A81"/>
    <w:rsid w:val="009D2F32"/>
    <w:rsid w:val="009D3117"/>
    <w:rsid w:val="009D3675"/>
    <w:rsid w:val="009D4004"/>
    <w:rsid w:val="009D4EBB"/>
    <w:rsid w:val="009D51C8"/>
    <w:rsid w:val="009D541F"/>
    <w:rsid w:val="009D5956"/>
    <w:rsid w:val="009D5975"/>
    <w:rsid w:val="009D6529"/>
    <w:rsid w:val="009D6F45"/>
    <w:rsid w:val="009D76D3"/>
    <w:rsid w:val="009E0513"/>
    <w:rsid w:val="009E0CB1"/>
    <w:rsid w:val="009E0E85"/>
    <w:rsid w:val="009E14D5"/>
    <w:rsid w:val="009E20F0"/>
    <w:rsid w:val="009E24AB"/>
    <w:rsid w:val="009E27AA"/>
    <w:rsid w:val="009E28F8"/>
    <w:rsid w:val="009E2A95"/>
    <w:rsid w:val="009E2DD7"/>
    <w:rsid w:val="009E3C79"/>
    <w:rsid w:val="009E456E"/>
    <w:rsid w:val="009E49A0"/>
    <w:rsid w:val="009E4DC2"/>
    <w:rsid w:val="009E4F39"/>
    <w:rsid w:val="009E5095"/>
    <w:rsid w:val="009E58ED"/>
    <w:rsid w:val="009E5976"/>
    <w:rsid w:val="009E709A"/>
    <w:rsid w:val="009E7888"/>
    <w:rsid w:val="009F0CD4"/>
    <w:rsid w:val="009F1C22"/>
    <w:rsid w:val="009F1D0F"/>
    <w:rsid w:val="009F2D42"/>
    <w:rsid w:val="009F2F94"/>
    <w:rsid w:val="009F389D"/>
    <w:rsid w:val="009F397E"/>
    <w:rsid w:val="009F3C67"/>
    <w:rsid w:val="009F3C90"/>
    <w:rsid w:val="009F40FE"/>
    <w:rsid w:val="009F41DC"/>
    <w:rsid w:val="009F43E4"/>
    <w:rsid w:val="009F44F0"/>
    <w:rsid w:val="009F46C3"/>
    <w:rsid w:val="009F4D17"/>
    <w:rsid w:val="009F59AB"/>
    <w:rsid w:val="009F5CF6"/>
    <w:rsid w:val="009F608E"/>
    <w:rsid w:val="009F746F"/>
    <w:rsid w:val="00A00771"/>
    <w:rsid w:val="00A01089"/>
    <w:rsid w:val="00A01234"/>
    <w:rsid w:val="00A0135B"/>
    <w:rsid w:val="00A016A5"/>
    <w:rsid w:val="00A01B56"/>
    <w:rsid w:val="00A0221B"/>
    <w:rsid w:val="00A023C1"/>
    <w:rsid w:val="00A0339E"/>
    <w:rsid w:val="00A03461"/>
    <w:rsid w:val="00A035E0"/>
    <w:rsid w:val="00A040EB"/>
    <w:rsid w:val="00A04B0B"/>
    <w:rsid w:val="00A04B52"/>
    <w:rsid w:val="00A04F12"/>
    <w:rsid w:val="00A0543C"/>
    <w:rsid w:val="00A05A7F"/>
    <w:rsid w:val="00A05CE9"/>
    <w:rsid w:val="00A06211"/>
    <w:rsid w:val="00A062CD"/>
    <w:rsid w:val="00A06B71"/>
    <w:rsid w:val="00A06BCB"/>
    <w:rsid w:val="00A0759E"/>
    <w:rsid w:val="00A07F08"/>
    <w:rsid w:val="00A100DE"/>
    <w:rsid w:val="00A101D7"/>
    <w:rsid w:val="00A10327"/>
    <w:rsid w:val="00A10744"/>
    <w:rsid w:val="00A10B10"/>
    <w:rsid w:val="00A11568"/>
    <w:rsid w:val="00A11778"/>
    <w:rsid w:val="00A11FC7"/>
    <w:rsid w:val="00A121C3"/>
    <w:rsid w:val="00A1240B"/>
    <w:rsid w:val="00A12C67"/>
    <w:rsid w:val="00A12D65"/>
    <w:rsid w:val="00A12DF3"/>
    <w:rsid w:val="00A12E90"/>
    <w:rsid w:val="00A134C6"/>
    <w:rsid w:val="00A13ADC"/>
    <w:rsid w:val="00A1416C"/>
    <w:rsid w:val="00A14374"/>
    <w:rsid w:val="00A14D7A"/>
    <w:rsid w:val="00A1526A"/>
    <w:rsid w:val="00A152A2"/>
    <w:rsid w:val="00A1544F"/>
    <w:rsid w:val="00A15FFE"/>
    <w:rsid w:val="00A160C8"/>
    <w:rsid w:val="00A168D2"/>
    <w:rsid w:val="00A168E1"/>
    <w:rsid w:val="00A16ED0"/>
    <w:rsid w:val="00A17245"/>
    <w:rsid w:val="00A17534"/>
    <w:rsid w:val="00A176F2"/>
    <w:rsid w:val="00A17A10"/>
    <w:rsid w:val="00A17B24"/>
    <w:rsid w:val="00A21098"/>
    <w:rsid w:val="00A2113D"/>
    <w:rsid w:val="00A2250C"/>
    <w:rsid w:val="00A232DE"/>
    <w:rsid w:val="00A24297"/>
    <w:rsid w:val="00A2469D"/>
    <w:rsid w:val="00A24B26"/>
    <w:rsid w:val="00A253E1"/>
    <w:rsid w:val="00A25590"/>
    <w:rsid w:val="00A25850"/>
    <w:rsid w:val="00A25CD5"/>
    <w:rsid w:val="00A25FDF"/>
    <w:rsid w:val="00A261F5"/>
    <w:rsid w:val="00A262F2"/>
    <w:rsid w:val="00A264B6"/>
    <w:rsid w:val="00A26628"/>
    <w:rsid w:val="00A267D7"/>
    <w:rsid w:val="00A26B6B"/>
    <w:rsid w:val="00A26D41"/>
    <w:rsid w:val="00A270D7"/>
    <w:rsid w:val="00A271EC"/>
    <w:rsid w:val="00A272C3"/>
    <w:rsid w:val="00A27656"/>
    <w:rsid w:val="00A27B54"/>
    <w:rsid w:val="00A27C73"/>
    <w:rsid w:val="00A27F2F"/>
    <w:rsid w:val="00A303F1"/>
    <w:rsid w:val="00A305B5"/>
    <w:rsid w:val="00A30957"/>
    <w:rsid w:val="00A30A62"/>
    <w:rsid w:val="00A31D6A"/>
    <w:rsid w:val="00A31F15"/>
    <w:rsid w:val="00A31FCC"/>
    <w:rsid w:val="00A320FD"/>
    <w:rsid w:val="00A32178"/>
    <w:rsid w:val="00A326F9"/>
    <w:rsid w:val="00A32A7F"/>
    <w:rsid w:val="00A33C96"/>
    <w:rsid w:val="00A341BD"/>
    <w:rsid w:val="00A350E9"/>
    <w:rsid w:val="00A365D2"/>
    <w:rsid w:val="00A36BD6"/>
    <w:rsid w:val="00A37FB6"/>
    <w:rsid w:val="00A40226"/>
    <w:rsid w:val="00A40DCD"/>
    <w:rsid w:val="00A41341"/>
    <w:rsid w:val="00A4138E"/>
    <w:rsid w:val="00A418CA"/>
    <w:rsid w:val="00A41A45"/>
    <w:rsid w:val="00A42A43"/>
    <w:rsid w:val="00A43486"/>
    <w:rsid w:val="00A43ED1"/>
    <w:rsid w:val="00A43F91"/>
    <w:rsid w:val="00A443CB"/>
    <w:rsid w:val="00A44425"/>
    <w:rsid w:val="00A447FA"/>
    <w:rsid w:val="00A44AAC"/>
    <w:rsid w:val="00A4534F"/>
    <w:rsid w:val="00A45427"/>
    <w:rsid w:val="00A45452"/>
    <w:rsid w:val="00A4548D"/>
    <w:rsid w:val="00A45BC3"/>
    <w:rsid w:val="00A45D90"/>
    <w:rsid w:val="00A45FCE"/>
    <w:rsid w:val="00A4683A"/>
    <w:rsid w:val="00A469F7"/>
    <w:rsid w:val="00A47734"/>
    <w:rsid w:val="00A477FD"/>
    <w:rsid w:val="00A47851"/>
    <w:rsid w:val="00A47CA4"/>
    <w:rsid w:val="00A47DD2"/>
    <w:rsid w:val="00A503ED"/>
    <w:rsid w:val="00A509AC"/>
    <w:rsid w:val="00A50DF1"/>
    <w:rsid w:val="00A5162A"/>
    <w:rsid w:val="00A5219B"/>
    <w:rsid w:val="00A53D9B"/>
    <w:rsid w:val="00A5441D"/>
    <w:rsid w:val="00A5463F"/>
    <w:rsid w:val="00A5485F"/>
    <w:rsid w:val="00A54EE1"/>
    <w:rsid w:val="00A55100"/>
    <w:rsid w:val="00A55FF0"/>
    <w:rsid w:val="00A5624C"/>
    <w:rsid w:val="00A5650E"/>
    <w:rsid w:val="00A56801"/>
    <w:rsid w:val="00A56B78"/>
    <w:rsid w:val="00A57888"/>
    <w:rsid w:val="00A57A50"/>
    <w:rsid w:val="00A57F02"/>
    <w:rsid w:val="00A60C04"/>
    <w:rsid w:val="00A60E51"/>
    <w:rsid w:val="00A62B11"/>
    <w:rsid w:val="00A63267"/>
    <w:rsid w:val="00A637BA"/>
    <w:rsid w:val="00A63A7B"/>
    <w:rsid w:val="00A647E8"/>
    <w:rsid w:val="00A65078"/>
    <w:rsid w:val="00A65454"/>
    <w:rsid w:val="00A6583B"/>
    <w:rsid w:val="00A65B48"/>
    <w:rsid w:val="00A65F3F"/>
    <w:rsid w:val="00A65FD1"/>
    <w:rsid w:val="00A66C54"/>
    <w:rsid w:val="00A66E5F"/>
    <w:rsid w:val="00A677F7"/>
    <w:rsid w:val="00A67AA2"/>
    <w:rsid w:val="00A67FA6"/>
    <w:rsid w:val="00A7003C"/>
    <w:rsid w:val="00A708E4"/>
    <w:rsid w:val="00A711A9"/>
    <w:rsid w:val="00A719AB"/>
    <w:rsid w:val="00A71AAB"/>
    <w:rsid w:val="00A71DF1"/>
    <w:rsid w:val="00A71DF2"/>
    <w:rsid w:val="00A72DA8"/>
    <w:rsid w:val="00A72EDB"/>
    <w:rsid w:val="00A72FAA"/>
    <w:rsid w:val="00A7347B"/>
    <w:rsid w:val="00A73FC2"/>
    <w:rsid w:val="00A74176"/>
    <w:rsid w:val="00A74AF8"/>
    <w:rsid w:val="00A75A3B"/>
    <w:rsid w:val="00A75C21"/>
    <w:rsid w:val="00A75E2F"/>
    <w:rsid w:val="00A7643A"/>
    <w:rsid w:val="00A768AB"/>
    <w:rsid w:val="00A769E2"/>
    <w:rsid w:val="00A771C9"/>
    <w:rsid w:val="00A7773A"/>
    <w:rsid w:val="00A77DAC"/>
    <w:rsid w:val="00A81DDD"/>
    <w:rsid w:val="00A820D1"/>
    <w:rsid w:val="00A82B81"/>
    <w:rsid w:val="00A82E01"/>
    <w:rsid w:val="00A83343"/>
    <w:rsid w:val="00A84820"/>
    <w:rsid w:val="00A84B14"/>
    <w:rsid w:val="00A84BE5"/>
    <w:rsid w:val="00A85729"/>
    <w:rsid w:val="00A8594E"/>
    <w:rsid w:val="00A86180"/>
    <w:rsid w:val="00A86EE9"/>
    <w:rsid w:val="00A87008"/>
    <w:rsid w:val="00A879AC"/>
    <w:rsid w:val="00A90C19"/>
    <w:rsid w:val="00A90EFA"/>
    <w:rsid w:val="00A91753"/>
    <w:rsid w:val="00A9197E"/>
    <w:rsid w:val="00A92FBB"/>
    <w:rsid w:val="00A9369A"/>
    <w:rsid w:val="00A938C0"/>
    <w:rsid w:val="00A93F96"/>
    <w:rsid w:val="00A94710"/>
    <w:rsid w:val="00A94866"/>
    <w:rsid w:val="00A94B23"/>
    <w:rsid w:val="00A952A3"/>
    <w:rsid w:val="00A95873"/>
    <w:rsid w:val="00A9589C"/>
    <w:rsid w:val="00A96546"/>
    <w:rsid w:val="00A96633"/>
    <w:rsid w:val="00A96C17"/>
    <w:rsid w:val="00A97241"/>
    <w:rsid w:val="00A972D4"/>
    <w:rsid w:val="00A9775C"/>
    <w:rsid w:val="00A9797E"/>
    <w:rsid w:val="00A97FED"/>
    <w:rsid w:val="00AA056F"/>
    <w:rsid w:val="00AA0F8D"/>
    <w:rsid w:val="00AA1736"/>
    <w:rsid w:val="00AA1E98"/>
    <w:rsid w:val="00AA2895"/>
    <w:rsid w:val="00AA30FC"/>
    <w:rsid w:val="00AA328B"/>
    <w:rsid w:val="00AA3CFF"/>
    <w:rsid w:val="00AA3E41"/>
    <w:rsid w:val="00AA429A"/>
    <w:rsid w:val="00AA444B"/>
    <w:rsid w:val="00AA4D5A"/>
    <w:rsid w:val="00AA590D"/>
    <w:rsid w:val="00AA5A8A"/>
    <w:rsid w:val="00AA5BC9"/>
    <w:rsid w:val="00AA60C0"/>
    <w:rsid w:val="00AA6828"/>
    <w:rsid w:val="00AA696E"/>
    <w:rsid w:val="00AA6E45"/>
    <w:rsid w:val="00AA6FB8"/>
    <w:rsid w:val="00AA70F1"/>
    <w:rsid w:val="00AA7F76"/>
    <w:rsid w:val="00AB0338"/>
    <w:rsid w:val="00AB0777"/>
    <w:rsid w:val="00AB0F65"/>
    <w:rsid w:val="00AB1D8A"/>
    <w:rsid w:val="00AB26E5"/>
    <w:rsid w:val="00AB26F4"/>
    <w:rsid w:val="00AB270D"/>
    <w:rsid w:val="00AB298A"/>
    <w:rsid w:val="00AB2E6F"/>
    <w:rsid w:val="00AB3028"/>
    <w:rsid w:val="00AB348B"/>
    <w:rsid w:val="00AB3843"/>
    <w:rsid w:val="00AB3A6C"/>
    <w:rsid w:val="00AB3F57"/>
    <w:rsid w:val="00AB4177"/>
    <w:rsid w:val="00AB4A93"/>
    <w:rsid w:val="00AB4EBA"/>
    <w:rsid w:val="00AB5366"/>
    <w:rsid w:val="00AB550D"/>
    <w:rsid w:val="00AB5945"/>
    <w:rsid w:val="00AB5B0B"/>
    <w:rsid w:val="00AB6C22"/>
    <w:rsid w:val="00AB6DB3"/>
    <w:rsid w:val="00AB70F4"/>
    <w:rsid w:val="00AB7C7A"/>
    <w:rsid w:val="00AB7EB2"/>
    <w:rsid w:val="00AB7FC5"/>
    <w:rsid w:val="00AC0219"/>
    <w:rsid w:val="00AC080C"/>
    <w:rsid w:val="00AC15A6"/>
    <w:rsid w:val="00AC2325"/>
    <w:rsid w:val="00AC28A6"/>
    <w:rsid w:val="00AC2F09"/>
    <w:rsid w:val="00AC31B9"/>
    <w:rsid w:val="00AC31D5"/>
    <w:rsid w:val="00AC384C"/>
    <w:rsid w:val="00AC39CB"/>
    <w:rsid w:val="00AC3B96"/>
    <w:rsid w:val="00AC4222"/>
    <w:rsid w:val="00AC43E5"/>
    <w:rsid w:val="00AC44BF"/>
    <w:rsid w:val="00AC46A3"/>
    <w:rsid w:val="00AC48C0"/>
    <w:rsid w:val="00AC4A47"/>
    <w:rsid w:val="00AC5823"/>
    <w:rsid w:val="00AC5D5A"/>
    <w:rsid w:val="00AC6229"/>
    <w:rsid w:val="00AC6ACB"/>
    <w:rsid w:val="00AC6E7A"/>
    <w:rsid w:val="00AC7E22"/>
    <w:rsid w:val="00AD039F"/>
    <w:rsid w:val="00AD0CCB"/>
    <w:rsid w:val="00AD159A"/>
    <w:rsid w:val="00AD17C2"/>
    <w:rsid w:val="00AD1BDA"/>
    <w:rsid w:val="00AD2009"/>
    <w:rsid w:val="00AD275D"/>
    <w:rsid w:val="00AD2C6F"/>
    <w:rsid w:val="00AD3162"/>
    <w:rsid w:val="00AD35C1"/>
    <w:rsid w:val="00AD36C0"/>
    <w:rsid w:val="00AD39FD"/>
    <w:rsid w:val="00AD3D9F"/>
    <w:rsid w:val="00AD41C1"/>
    <w:rsid w:val="00AD41E6"/>
    <w:rsid w:val="00AD4702"/>
    <w:rsid w:val="00AD58B9"/>
    <w:rsid w:val="00AD6278"/>
    <w:rsid w:val="00AD648B"/>
    <w:rsid w:val="00AD7023"/>
    <w:rsid w:val="00AD7476"/>
    <w:rsid w:val="00AD76A0"/>
    <w:rsid w:val="00AD7A31"/>
    <w:rsid w:val="00AD7ADF"/>
    <w:rsid w:val="00AD7C7A"/>
    <w:rsid w:val="00AD7CFE"/>
    <w:rsid w:val="00AE03F8"/>
    <w:rsid w:val="00AE0498"/>
    <w:rsid w:val="00AE0ADF"/>
    <w:rsid w:val="00AE0C9A"/>
    <w:rsid w:val="00AE0CEE"/>
    <w:rsid w:val="00AE1191"/>
    <w:rsid w:val="00AE16BA"/>
    <w:rsid w:val="00AE1A31"/>
    <w:rsid w:val="00AE1CB6"/>
    <w:rsid w:val="00AE1E85"/>
    <w:rsid w:val="00AE245B"/>
    <w:rsid w:val="00AE2C77"/>
    <w:rsid w:val="00AE2D9F"/>
    <w:rsid w:val="00AE2E29"/>
    <w:rsid w:val="00AE3148"/>
    <w:rsid w:val="00AE3305"/>
    <w:rsid w:val="00AE3DE3"/>
    <w:rsid w:val="00AE430D"/>
    <w:rsid w:val="00AE47CC"/>
    <w:rsid w:val="00AE53EC"/>
    <w:rsid w:val="00AE5668"/>
    <w:rsid w:val="00AE5993"/>
    <w:rsid w:val="00AE69AF"/>
    <w:rsid w:val="00AE6EBE"/>
    <w:rsid w:val="00AE6FD2"/>
    <w:rsid w:val="00AE747D"/>
    <w:rsid w:val="00AF0332"/>
    <w:rsid w:val="00AF1538"/>
    <w:rsid w:val="00AF1F93"/>
    <w:rsid w:val="00AF20EB"/>
    <w:rsid w:val="00AF23E3"/>
    <w:rsid w:val="00AF2653"/>
    <w:rsid w:val="00AF2769"/>
    <w:rsid w:val="00AF4C82"/>
    <w:rsid w:val="00AF4D14"/>
    <w:rsid w:val="00AF511A"/>
    <w:rsid w:val="00AF57AE"/>
    <w:rsid w:val="00AF5CBB"/>
    <w:rsid w:val="00AF6680"/>
    <w:rsid w:val="00AF75F9"/>
    <w:rsid w:val="00AF796A"/>
    <w:rsid w:val="00AF7C7E"/>
    <w:rsid w:val="00B00529"/>
    <w:rsid w:val="00B00673"/>
    <w:rsid w:val="00B0087B"/>
    <w:rsid w:val="00B00920"/>
    <w:rsid w:val="00B00D4F"/>
    <w:rsid w:val="00B011F6"/>
    <w:rsid w:val="00B01450"/>
    <w:rsid w:val="00B015CB"/>
    <w:rsid w:val="00B02120"/>
    <w:rsid w:val="00B0253A"/>
    <w:rsid w:val="00B03AF3"/>
    <w:rsid w:val="00B0401C"/>
    <w:rsid w:val="00B0451C"/>
    <w:rsid w:val="00B0460F"/>
    <w:rsid w:val="00B04928"/>
    <w:rsid w:val="00B049E1"/>
    <w:rsid w:val="00B04A1B"/>
    <w:rsid w:val="00B04CF0"/>
    <w:rsid w:val="00B04F4A"/>
    <w:rsid w:val="00B05B49"/>
    <w:rsid w:val="00B05D6C"/>
    <w:rsid w:val="00B0661F"/>
    <w:rsid w:val="00B068C1"/>
    <w:rsid w:val="00B07357"/>
    <w:rsid w:val="00B074F6"/>
    <w:rsid w:val="00B07781"/>
    <w:rsid w:val="00B10E0B"/>
    <w:rsid w:val="00B11330"/>
    <w:rsid w:val="00B11781"/>
    <w:rsid w:val="00B11E44"/>
    <w:rsid w:val="00B13084"/>
    <w:rsid w:val="00B139DC"/>
    <w:rsid w:val="00B141C0"/>
    <w:rsid w:val="00B142D3"/>
    <w:rsid w:val="00B14CA4"/>
    <w:rsid w:val="00B151FE"/>
    <w:rsid w:val="00B154F9"/>
    <w:rsid w:val="00B156C8"/>
    <w:rsid w:val="00B15EDE"/>
    <w:rsid w:val="00B16A9B"/>
    <w:rsid w:val="00B16DD4"/>
    <w:rsid w:val="00B1701C"/>
    <w:rsid w:val="00B173DE"/>
    <w:rsid w:val="00B17750"/>
    <w:rsid w:val="00B17A82"/>
    <w:rsid w:val="00B17ACA"/>
    <w:rsid w:val="00B17F91"/>
    <w:rsid w:val="00B20365"/>
    <w:rsid w:val="00B2061C"/>
    <w:rsid w:val="00B206F8"/>
    <w:rsid w:val="00B2082D"/>
    <w:rsid w:val="00B20C64"/>
    <w:rsid w:val="00B20E59"/>
    <w:rsid w:val="00B21908"/>
    <w:rsid w:val="00B21E46"/>
    <w:rsid w:val="00B21EB7"/>
    <w:rsid w:val="00B22ACC"/>
    <w:rsid w:val="00B22F37"/>
    <w:rsid w:val="00B22F50"/>
    <w:rsid w:val="00B24158"/>
    <w:rsid w:val="00B24203"/>
    <w:rsid w:val="00B2439D"/>
    <w:rsid w:val="00B245DB"/>
    <w:rsid w:val="00B24E14"/>
    <w:rsid w:val="00B252B8"/>
    <w:rsid w:val="00B259FF"/>
    <w:rsid w:val="00B25D96"/>
    <w:rsid w:val="00B25E94"/>
    <w:rsid w:val="00B26ADC"/>
    <w:rsid w:val="00B26D7C"/>
    <w:rsid w:val="00B26F7E"/>
    <w:rsid w:val="00B30152"/>
    <w:rsid w:val="00B306DC"/>
    <w:rsid w:val="00B30A69"/>
    <w:rsid w:val="00B30C01"/>
    <w:rsid w:val="00B30D18"/>
    <w:rsid w:val="00B30F03"/>
    <w:rsid w:val="00B30F9B"/>
    <w:rsid w:val="00B318A6"/>
    <w:rsid w:val="00B31DD6"/>
    <w:rsid w:val="00B31EDC"/>
    <w:rsid w:val="00B3253E"/>
    <w:rsid w:val="00B33B45"/>
    <w:rsid w:val="00B33E2B"/>
    <w:rsid w:val="00B34899"/>
    <w:rsid w:val="00B350A6"/>
    <w:rsid w:val="00B35A75"/>
    <w:rsid w:val="00B35BAB"/>
    <w:rsid w:val="00B364D4"/>
    <w:rsid w:val="00B366E8"/>
    <w:rsid w:val="00B36BA7"/>
    <w:rsid w:val="00B36DA1"/>
    <w:rsid w:val="00B3706D"/>
    <w:rsid w:val="00B37D7E"/>
    <w:rsid w:val="00B40C82"/>
    <w:rsid w:val="00B40F1C"/>
    <w:rsid w:val="00B420FE"/>
    <w:rsid w:val="00B42201"/>
    <w:rsid w:val="00B4223B"/>
    <w:rsid w:val="00B424BD"/>
    <w:rsid w:val="00B441DE"/>
    <w:rsid w:val="00B44628"/>
    <w:rsid w:val="00B44976"/>
    <w:rsid w:val="00B44CBE"/>
    <w:rsid w:val="00B45116"/>
    <w:rsid w:val="00B457F4"/>
    <w:rsid w:val="00B45B05"/>
    <w:rsid w:val="00B45E61"/>
    <w:rsid w:val="00B46728"/>
    <w:rsid w:val="00B46B77"/>
    <w:rsid w:val="00B46EDF"/>
    <w:rsid w:val="00B471FB"/>
    <w:rsid w:val="00B47B63"/>
    <w:rsid w:val="00B47FDD"/>
    <w:rsid w:val="00B50296"/>
    <w:rsid w:val="00B506B4"/>
    <w:rsid w:val="00B50953"/>
    <w:rsid w:val="00B511DA"/>
    <w:rsid w:val="00B512EA"/>
    <w:rsid w:val="00B515B5"/>
    <w:rsid w:val="00B5171C"/>
    <w:rsid w:val="00B5194D"/>
    <w:rsid w:val="00B5218D"/>
    <w:rsid w:val="00B523C2"/>
    <w:rsid w:val="00B52466"/>
    <w:rsid w:val="00B524B6"/>
    <w:rsid w:val="00B52B73"/>
    <w:rsid w:val="00B5313C"/>
    <w:rsid w:val="00B537DF"/>
    <w:rsid w:val="00B538EA"/>
    <w:rsid w:val="00B5446A"/>
    <w:rsid w:val="00B54DAD"/>
    <w:rsid w:val="00B56300"/>
    <w:rsid w:val="00B56774"/>
    <w:rsid w:val="00B57353"/>
    <w:rsid w:val="00B577FA"/>
    <w:rsid w:val="00B57C62"/>
    <w:rsid w:val="00B601E3"/>
    <w:rsid w:val="00B60735"/>
    <w:rsid w:val="00B61ED3"/>
    <w:rsid w:val="00B6225A"/>
    <w:rsid w:val="00B62AA9"/>
    <w:rsid w:val="00B62E40"/>
    <w:rsid w:val="00B64410"/>
    <w:rsid w:val="00B6471B"/>
    <w:rsid w:val="00B65540"/>
    <w:rsid w:val="00B655B7"/>
    <w:rsid w:val="00B65FCB"/>
    <w:rsid w:val="00B66EFA"/>
    <w:rsid w:val="00B676B4"/>
    <w:rsid w:val="00B676C5"/>
    <w:rsid w:val="00B67A05"/>
    <w:rsid w:val="00B7021B"/>
    <w:rsid w:val="00B7064B"/>
    <w:rsid w:val="00B70B24"/>
    <w:rsid w:val="00B70E5F"/>
    <w:rsid w:val="00B71C42"/>
    <w:rsid w:val="00B72381"/>
    <w:rsid w:val="00B72DFC"/>
    <w:rsid w:val="00B738B0"/>
    <w:rsid w:val="00B73B09"/>
    <w:rsid w:val="00B73C2F"/>
    <w:rsid w:val="00B73E03"/>
    <w:rsid w:val="00B74143"/>
    <w:rsid w:val="00B743DE"/>
    <w:rsid w:val="00B74817"/>
    <w:rsid w:val="00B74D58"/>
    <w:rsid w:val="00B75BA8"/>
    <w:rsid w:val="00B75C66"/>
    <w:rsid w:val="00B75CE4"/>
    <w:rsid w:val="00B75EDB"/>
    <w:rsid w:val="00B76B3F"/>
    <w:rsid w:val="00B77022"/>
    <w:rsid w:val="00B77BDB"/>
    <w:rsid w:val="00B804D6"/>
    <w:rsid w:val="00B80EA0"/>
    <w:rsid w:val="00B812B2"/>
    <w:rsid w:val="00B81499"/>
    <w:rsid w:val="00B8159C"/>
    <w:rsid w:val="00B81C3F"/>
    <w:rsid w:val="00B81CB6"/>
    <w:rsid w:val="00B82168"/>
    <w:rsid w:val="00B82570"/>
    <w:rsid w:val="00B82EAF"/>
    <w:rsid w:val="00B82F8D"/>
    <w:rsid w:val="00B8312B"/>
    <w:rsid w:val="00B83BEB"/>
    <w:rsid w:val="00B83D35"/>
    <w:rsid w:val="00B83EB1"/>
    <w:rsid w:val="00B842CE"/>
    <w:rsid w:val="00B84EB9"/>
    <w:rsid w:val="00B85D10"/>
    <w:rsid w:val="00B85EC9"/>
    <w:rsid w:val="00B86334"/>
    <w:rsid w:val="00B8642A"/>
    <w:rsid w:val="00B866F9"/>
    <w:rsid w:val="00B86B4B"/>
    <w:rsid w:val="00B87612"/>
    <w:rsid w:val="00B90886"/>
    <w:rsid w:val="00B90BE3"/>
    <w:rsid w:val="00B90C6A"/>
    <w:rsid w:val="00B90D93"/>
    <w:rsid w:val="00B92621"/>
    <w:rsid w:val="00B92998"/>
    <w:rsid w:val="00B93C93"/>
    <w:rsid w:val="00B93FE2"/>
    <w:rsid w:val="00B959D3"/>
    <w:rsid w:val="00B95B11"/>
    <w:rsid w:val="00B95D2D"/>
    <w:rsid w:val="00B961E9"/>
    <w:rsid w:val="00B969BA"/>
    <w:rsid w:val="00B96FB2"/>
    <w:rsid w:val="00B9763E"/>
    <w:rsid w:val="00B97B7B"/>
    <w:rsid w:val="00BA04A5"/>
    <w:rsid w:val="00BA061C"/>
    <w:rsid w:val="00BA07C8"/>
    <w:rsid w:val="00BA0C02"/>
    <w:rsid w:val="00BA1878"/>
    <w:rsid w:val="00BA23A9"/>
    <w:rsid w:val="00BA2CC3"/>
    <w:rsid w:val="00BA33E6"/>
    <w:rsid w:val="00BA3E6E"/>
    <w:rsid w:val="00BA455D"/>
    <w:rsid w:val="00BA5D2E"/>
    <w:rsid w:val="00BA6964"/>
    <w:rsid w:val="00BA705E"/>
    <w:rsid w:val="00BA71CF"/>
    <w:rsid w:val="00BA721C"/>
    <w:rsid w:val="00BA7683"/>
    <w:rsid w:val="00BB02D1"/>
    <w:rsid w:val="00BB0C61"/>
    <w:rsid w:val="00BB18E2"/>
    <w:rsid w:val="00BB1BB8"/>
    <w:rsid w:val="00BB1D70"/>
    <w:rsid w:val="00BB1FA9"/>
    <w:rsid w:val="00BB20D1"/>
    <w:rsid w:val="00BB25BC"/>
    <w:rsid w:val="00BB2A6D"/>
    <w:rsid w:val="00BB2C6C"/>
    <w:rsid w:val="00BB331A"/>
    <w:rsid w:val="00BB3613"/>
    <w:rsid w:val="00BB3796"/>
    <w:rsid w:val="00BB3DC2"/>
    <w:rsid w:val="00BB3E7D"/>
    <w:rsid w:val="00BB4C51"/>
    <w:rsid w:val="00BB51A6"/>
    <w:rsid w:val="00BB54B7"/>
    <w:rsid w:val="00BB5E70"/>
    <w:rsid w:val="00BB6102"/>
    <w:rsid w:val="00BB6AE5"/>
    <w:rsid w:val="00BB6D22"/>
    <w:rsid w:val="00BB75B4"/>
    <w:rsid w:val="00BB7F6B"/>
    <w:rsid w:val="00BC04CF"/>
    <w:rsid w:val="00BC0ED9"/>
    <w:rsid w:val="00BC1163"/>
    <w:rsid w:val="00BC1E57"/>
    <w:rsid w:val="00BC2801"/>
    <w:rsid w:val="00BC2AD7"/>
    <w:rsid w:val="00BC3353"/>
    <w:rsid w:val="00BC3460"/>
    <w:rsid w:val="00BC3A50"/>
    <w:rsid w:val="00BC3A56"/>
    <w:rsid w:val="00BC3C0C"/>
    <w:rsid w:val="00BC3D71"/>
    <w:rsid w:val="00BC49EC"/>
    <w:rsid w:val="00BC4EEF"/>
    <w:rsid w:val="00BC53DB"/>
    <w:rsid w:val="00BC5A03"/>
    <w:rsid w:val="00BC5C9B"/>
    <w:rsid w:val="00BC5D9D"/>
    <w:rsid w:val="00BC61EA"/>
    <w:rsid w:val="00BC663D"/>
    <w:rsid w:val="00BC66DB"/>
    <w:rsid w:val="00BC68EA"/>
    <w:rsid w:val="00BC6CF8"/>
    <w:rsid w:val="00BC6EFF"/>
    <w:rsid w:val="00BC7B12"/>
    <w:rsid w:val="00BD0615"/>
    <w:rsid w:val="00BD08C7"/>
    <w:rsid w:val="00BD0D8C"/>
    <w:rsid w:val="00BD1080"/>
    <w:rsid w:val="00BD1445"/>
    <w:rsid w:val="00BD1889"/>
    <w:rsid w:val="00BD2269"/>
    <w:rsid w:val="00BD2999"/>
    <w:rsid w:val="00BD2A0B"/>
    <w:rsid w:val="00BD2BC3"/>
    <w:rsid w:val="00BD2C7D"/>
    <w:rsid w:val="00BD2C9E"/>
    <w:rsid w:val="00BD34C5"/>
    <w:rsid w:val="00BD4490"/>
    <w:rsid w:val="00BD4CA4"/>
    <w:rsid w:val="00BD4CB2"/>
    <w:rsid w:val="00BD4E8F"/>
    <w:rsid w:val="00BD4F74"/>
    <w:rsid w:val="00BD5B05"/>
    <w:rsid w:val="00BD5ED8"/>
    <w:rsid w:val="00BD665F"/>
    <w:rsid w:val="00BD6ED7"/>
    <w:rsid w:val="00BD7294"/>
    <w:rsid w:val="00BE03E0"/>
    <w:rsid w:val="00BE1405"/>
    <w:rsid w:val="00BE17E0"/>
    <w:rsid w:val="00BE17E4"/>
    <w:rsid w:val="00BE18C6"/>
    <w:rsid w:val="00BE2260"/>
    <w:rsid w:val="00BE2385"/>
    <w:rsid w:val="00BE289B"/>
    <w:rsid w:val="00BE2ACE"/>
    <w:rsid w:val="00BE2BF7"/>
    <w:rsid w:val="00BE4020"/>
    <w:rsid w:val="00BE466C"/>
    <w:rsid w:val="00BE5241"/>
    <w:rsid w:val="00BE677D"/>
    <w:rsid w:val="00BE6F05"/>
    <w:rsid w:val="00BE78D4"/>
    <w:rsid w:val="00BE7C42"/>
    <w:rsid w:val="00BF0656"/>
    <w:rsid w:val="00BF10F0"/>
    <w:rsid w:val="00BF1606"/>
    <w:rsid w:val="00BF184D"/>
    <w:rsid w:val="00BF1851"/>
    <w:rsid w:val="00BF251B"/>
    <w:rsid w:val="00BF2644"/>
    <w:rsid w:val="00BF27CE"/>
    <w:rsid w:val="00BF2961"/>
    <w:rsid w:val="00BF2C16"/>
    <w:rsid w:val="00BF305C"/>
    <w:rsid w:val="00BF355F"/>
    <w:rsid w:val="00BF3AEA"/>
    <w:rsid w:val="00BF4B0E"/>
    <w:rsid w:val="00BF5474"/>
    <w:rsid w:val="00BF5568"/>
    <w:rsid w:val="00BF5BFB"/>
    <w:rsid w:val="00BF65E1"/>
    <w:rsid w:val="00BF6640"/>
    <w:rsid w:val="00BF69D6"/>
    <w:rsid w:val="00BF7774"/>
    <w:rsid w:val="00BF7B5D"/>
    <w:rsid w:val="00BF7E7F"/>
    <w:rsid w:val="00C00182"/>
    <w:rsid w:val="00C00983"/>
    <w:rsid w:val="00C01470"/>
    <w:rsid w:val="00C01A30"/>
    <w:rsid w:val="00C01EF0"/>
    <w:rsid w:val="00C02774"/>
    <w:rsid w:val="00C02881"/>
    <w:rsid w:val="00C03C94"/>
    <w:rsid w:val="00C03EBE"/>
    <w:rsid w:val="00C04654"/>
    <w:rsid w:val="00C048E0"/>
    <w:rsid w:val="00C050DC"/>
    <w:rsid w:val="00C05340"/>
    <w:rsid w:val="00C05FBF"/>
    <w:rsid w:val="00C10874"/>
    <w:rsid w:val="00C10AAF"/>
    <w:rsid w:val="00C10DA7"/>
    <w:rsid w:val="00C10E00"/>
    <w:rsid w:val="00C1163B"/>
    <w:rsid w:val="00C11CA3"/>
    <w:rsid w:val="00C11FBB"/>
    <w:rsid w:val="00C12270"/>
    <w:rsid w:val="00C126CE"/>
    <w:rsid w:val="00C12792"/>
    <w:rsid w:val="00C12931"/>
    <w:rsid w:val="00C12BD2"/>
    <w:rsid w:val="00C1335B"/>
    <w:rsid w:val="00C134B1"/>
    <w:rsid w:val="00C13CE3"/>
    <w:rsid w:val="00C14380"/>
    <w:rsid w:val="00C14EB5"/>
    <w:rsid w:val="00C14EC2"/>
    <w:rsid w:val="00C151D9"/>
    <w:rsid w:val="00C15477"/>
    <w:rsid w:val="00C155C8"/>
    <w:rsid w:val="00C15B4B"/>
    <w:rsid w:val="00C1629D"/>
    <w:rsid w:val="00C163B6"/>
    <w:rsid w:val="00C165B3"/>
    <w:rsid w:val="00C16735"/>
    <w:rsid w:val="00C16A10"/>
    <w:rsid w:val="00C16D49"/>
    <w:rsid w:val="00C17724"/>
    <w:rsid w:val="00C20000"/>
    <w:rsid w:val="00C20CF0"/>
    <w:rsid w:val="00C20D50"/>
    <w:rsid w:val="00C216D5"/>
    <w:rsid w:val="00C21DB9"/>
    <w:rsid w:val="00C24433"/>
    <w:rsid w:val="00C245A3"/>
    <w:rsid w:val="00C24617"/>
    <w:rsid w:val="00C24849"/>
    <w:rsid w:val="00C24A14"/>
    <w:rsid w:val="00C24CC7"/>
    <w:rsid w:val="00C257CE"/>
    <w:rsid w:val="00C25A05"/>
    <w:rsid w:val="00C25A52"/>
    <w:rsid w:val="00C264F8"/>
    <w:rsid w:val="00C26A26"/>
    <w:rsid w:val="00C26FAD"/>
    <w:rsid w:val="00C30451"/>
    <w:rsid w:val="00C30818"/>
    <w:rsid w:val="00C30F66"/>
    <w:rsid w:val="00C313A1"/>
    <w:rsid w:val="00C3162E"/>
    <w:rsid w:val="00C3212F"/>
    <w:rsid w:val="00C327F0"/>
    <w:rsid w:val="00C33141"/>
    <w:rsid w:val="00C337EA"/>
    <w:rsid w:val="00C33BB6"/>
    <w:rsid w:val="00C33CF7"/>
    <w:rsid w:val="00C33EAC"/>
    <w:rsid w:val="00C342BD"/>
    <w:rsid w:val="00C34516"/>
    <w:rsid w:val="00C3473E"/>
    <w:rsid w:val="00C34B4B"/>
    <w:rsid w:val="00C354EB"/>
    <w:rsid w:val="00C3690E"/>
    <w:rsid w:val="00C36D19"/>
    <w:rsid w:val="00C3771A"/>
    <w:rsid w:val="00C37DF8"/>
    <w:rsid w:val="00C40A98"/>
    <w:rsid w:val="00C41BA8"/>
    <w:rsid w:val="00C4201F"/>
    <w:rsid w:val="00C421D0"/>
    <w:rsid w:val="00C422E3"/>
    <w:rsid w:val="00C423B0"/>
    <w:rsid w:val="00C42BD8"/>
    <w:rsid w:val="00C42F10"/>
    <w:rsid w:val="00C436C0"/>
    <w:rsid w:val="00C439FA"/>
    <w:rsid w:val="00C43EC5"/>
    <w:rsid w:val="00C442EF"/>
    <w:rsid w:val="00C4433D"/>
    <w:rsid w:val="00C446AC"/>
    <w:rsid w:val="00C446F7"/>
    <w:rsid w:val="00C44B88"/>
    <w:rsid w:val="00C45EA6"/>
    <w:rsid w:val="00C466F0"/>
    <w:rsid w:val="00C46CF8"/>
    <w:rsid w:val="00C47317"/>
    <w:rsid w:val="00C473EE"/>
    <w:rsid w:val="00C474CA"/>
    <w:rsid w:val="00C47BAD"/>
    <w:rsid w:val="00C501E9"/>
    <w:rsid w:val="00C504B4"/>
    <w:rsid w:val="00C5060E"/>
    <w:rsid w:val="00C50B15"/>
    <w:rsid w:val="00C51D34"/>
    <w:rsid w:val="00C51EC4"/>
    <w:rsid w:val="00C529F1"/>
    <w:rsid w:val="00C53328"/>
    <w:rsid w:val="00C53A84"/>
    <w:rsid w:val="00C544F2"/>
    <w:rsid w:val="00C54BE3"/>
    <w:rsid w:val="00C54CF3"/>
    <w:rsid w:val="00C55CF7"/>
    <w:rsid w:val="00C55F46"/>
    <w:rsid w:val="00C5602C"/>
    <w:rsid w:val="00C563B7"/>
    <w:rsid w:val="00C56A0D"/>
    <w:rsid w:val="00C56CF4"/>
    <w:rsid w:val="00C56E0D"/>
    <w:rsid w:val="00C57FC1"/>
    <w:rsid w:val="00C6057A"/>
    <w:rsid w:val="00C6065E"/>
    <w:rsid w:val="00C608EE"/>
    <w:rsid w:val="00C60DAF"/>
    <w:rsid w:val="00C61403"/>
    <w:rsid w:val="00C614D3"/>
    <w:rsid w:val="00C6210C"/>
    <w:rsid w:val="00C62EFC"/>
    <w:rsid w:val="00C6333D"/>
    <w:rsid w:val="00C63D99"/>
    <w:rsid w:val="00C642A9"/>
    <w:rsid w:val="00C64D60"/>
    <w:rsid w:val="00C64E14"/>
    <w:rsid w:val="00C650F0"/>
    <w:rsid w:val="00C65194"/>
    <w:rsid w:val="00C653E9"/>
    <w:rsid w:val="00C65B45"/>
    <w:rsid w:val="00C65E80"/>
    <w:rsid w:val="00C665F6"/>
    <w:rsid w:val="00C66969"/>
    <w:rsid w:val="00C669F7"/>
    <w:rsid w:val="00C66B55"/>
    <w:rsid w:val="00C67277"/>
    <w:rsid w:val="00C6772D"/>
    <w:rsid w:val="00C677C8"/>
    <w:rsid w:val="00C67AB7"/>
    <w:rsid w:val="00C7135D"/>
    <w:rsid w:val="00C71D03"/>
    <w:rsid w:val="00C72053"/>
    <w:rsid w:val="00C723BB"/>
    <w:rsid w:val="00C72D8B"/>
    <w:rsid w:val="00C73123"/>
    <w:rsid w:val="00C7385A"/>
    <w:rsid w:val="00C73964"/>
    <w:rsid w:val="00C73A4D"/>
    <w:rsid w:val="00C73EF8"/>
    <w:rsid w:val="00C7476D"/>
    <w:rsid w:val="00C74BF3"/>
    <w:rsid w:val="00C74DFA"/>
    <w:rsid w:val="00C75351"/>
    <w:rsid w:val="00C754DF"/>
    <w:rsid w:val="00C75867"/>
    <w:rsid w:val="00C75AC0"/>
    <w:rsid w:val="00C75CFC"/>
    <w:rsid w:val="00C77237"/>
    <w:rsid w:val="00C77415"/>
    <w:rsid w:val="00C77659"/>
    <w:rsid w:val="00C809F3"/>
    <w:rsid w:val="00C80E24"/>
    <w:rsid w:val="00C80F96"/>
    <w:rsid w:val="00C81DF7"/>
    <w:rsid w:val="00C82025"/>
    <w:rsid w:val="00C82662"/>
    <w:rsid w:val="00C83195"/>
    <w:rsid w:val="00C83A39"/>
    <w:rsid w:val="00C843CB"/>
    <w:rsid w:val="00C84B47"/>
    <w:rsid w:val="00C84EDF"/>
    <w:rsid w:val="00C851F5"/>
    <w:rsid w:val="00C85640"/>
    <w:rsid w:val="00C85931"/>
    <w:rsid w:val="00C86235"/>
    <w:rsid w:val="00C8649A"/>
    <w:rsid w:val="00C86DE5"/>
    <w:rsid w:val="00C86ED2"/>
    <w:rsid w:val="00C87176"/>
    <w:rsid w:val="00C90740"/>
    <w:rsid w:val="00C90B7A"/>
    <w:rsid w:val="00C9126B"/>
    <w:rsid w:val="00C91287"/>
    <w:rsid w:val="00C91379"/>
    <w:rsid w:val="00C918AF"/>
    <w:rsid w:val="00C91C7C"/>
    <w:rsid w:val="00C91CAA"/>
    <w:rsid w:val="00C91CFF"/>
    <w:rsid w:val="00C920AA"/>
    <w:rsid w:val="00C9226D"/>
    <w:rsid w:val="00C92310"/>
    <w:rsid w:val="00C92AF9"/>
    <w:rsid w:val="00C92B7F"/>
    <w:rsid w:val="00C9343A"/>
    <w:rsid w:val="00C93647"/>
    <w:rsid w:val="00C93B92"/>
    <w:rsid w:val="00C9426F"/>
    <w:rsid w:val="00C94512"/>
    <w:rsid w:val="00C947B3"/>
    <w:rsid w:val="00C9481E"/>
    <w:rsid w:val="00C9551F"/>
    <w:rsid w:val="00C955E1"/>
    <w:rsid w:val="00C95A73"/>
    <w:rsid w:val="00C95BFB"/>
    <w:rsid w:val="00C95ED0"/>
    <w:rsid w:val="00C96207"/>
    <w:rsid w:val="00C967DA"/>
    <w:rsid w:val="00CA000A"/>
    <w:rsid w:val="00CA057E"/>
    <w:rsid w:val="00CA10A1"/>
    <w:rsid w:val="00CA22B6"/>
    <w:rsid w:val="00CA2E14"/>
    <w:rsid w:val="00CA2F6B"/>
    <w:rsid w:val="00CA329F"/>
    <w:rsid w:val="00CA378E"/>
    <w:rsid w:val="00CA3D8D"/>
    <w:rsid w:val="00CA423F"/>
    <w:rsid w:val="00CA4711"/>
    <w:rsid w:val="00CA4B37"/>
    <w:rsid w:val="00CA4B44"/>
    <w:rsid w:val="00CA4C0F"/>
    <w:rsid w:val="00CA520B"/>
    <w:rsid w:val="00CA5882"/>
    <w:rsid w:val="00CA5D5F"/>
    <w:rsid w:val="00CA64FC"/>
    <w:rsid w:val="00CA6623"/>
    <w:rsid w:val="00CA7281"/>
    <w:rsid w:val="00CA72F9"/>
    <w:rsid w:val="00CA79D2"/>
    <w:rsid w:val="00CA7F90"/>
    <w:rsid w:val="00CB00BC"/>
    <w:rsid w:val="00CB0589"/>
    <w:rsid w:val="00CB08CB"/>
    <w:rsid w:val="00CB0B27"/>
    <w:rsid w:val="00CB0BC9"/>
    <w:rsid w:val="00CB1022"/>
    <w:rsid w:val="00CB1178"/>
    <w:rsid w:val="00CB15A8"/>
    <w:rsid w:val="00CB247E"/>
    <w:rsid w:val="00CB24E8"/>
    <w:rsid w:val="00CB2ACD"/>
    <w:rsid w:val="00CB3474"/>
    <w:rsid w:val="00CB450B"/>
    <w:rsid w:val="00CB56B8"/>
    <w:rsid w:val="00CB6B28"/>
    <w:rsid w:val="00CB7968"/>
    <w:rsid w:val="00CB7A3E"/>
    <w:rsid w:val="00CC0378"/>
    <w:rsid w:val="00CC05F4"/>
    <w:rsid w:val="00CC0747"/>
    <w:rsid w:val="00CC1106"/>
    <w:rsid w:val="00CC1294"/>
    <w:rsid w:val="00CC1A5B"/>
    <w:rsid w:val="00CC1E5A"/>
    <w:rsid w:val="00CC2B23"/>
    <w:rsid w:val="00CC2FE8"/>
    <w:rsid w:val="00CC37AB"/>
    <w:rsid w:val="00CC4799"/>
    <w:rsid w:val="00CC4B64"/>
    <w:rsid w:val="00CC54E2"/>
    <w:rsid w:val="00CC55B0"/>
    <w:rsid w:val="00CC5A7A"/>
    <w:rsid w:val="00CC69D6"/>
    <w:rsid w:val="00CC6A79"/>
    <w:rsid w:val="00CC6A98"/>
    <w:rsid w:val="00CC6B09"/>
    <w:rsid w:val="00CC7220"/>
    <w:rsid w:val="00CC7826"/>
    <w:rsid w:val="00CD06BE"/>
    <w:rsid w:val="00CD0C6A"/>
    <w:rsid w:val="00CD21DA"/>
    <w:rsid w:val="00CD28CE"/>
    <w:rsid w:val="00CD3052"/>
    <w:rsid w:val="00CD3A5F"/>
    <w:rsid w:val="00CD3D6E"/>
    <w:rsid w:val="00CD3F72"/>
    <w:rsid w:val="00CD3FE7"/>
    <w:rsid w:val="00CD3FED"/>
    <w:rsid w:val="00CD3FF1"/>
    <w:rsid w:val="00CD4948"/>
    <w:rsid w:val="00CD58F8"/>
    <w:rsid w:val="00CD5A2E"/>
    <w:rsid w:val="00CD5E1C"/>
    <w:rsid w:val="00CD6036"/>
    <w:rsid w:val="00CD61C1"/>
    <w:rsid w:val="00CD6D33"/>
    <w:rsid w:val="00CD7456"/>
    <w:rsid w:val="00CD7525"/>
    <w:rsid w:val="00CE0932"/>
    <w:rsid w:val="00CE0A24"/>
    <w:rsid w:val="00CE0AAD"/>
    <w:rsid w:val="00CE0AEF"/>
    <w:rsid w:val="00CE1BDB"/>
    <w:rsid w:val="00CE1FBF"/>
    <w:rsid w:val="00CE2430"/>
    <w:rsid w:val="00CE2CBB"/>
    <w:rsid w:val="00CE3145"/>
    <w:rsid w:val="00CE36DE"/>
    <w:rsid w:val="00CE3709"/>
    <w:rsid w:val="00CE37F3"/>
    <w:rsid w:val="00CE43FC"/>
    <w:rsid w:val="00CE47E8"/>
    <w:rsid w:val="00CE50C1"/>
    <w:rsid w:val="00CE613C"/>
    <w:rsid w:val="00CE6681"/>
    <w:rsid w:val="00CE66FB"/>
    <w:rsid w:val="00CE6A42"/>
    <w:rsid w:val="00CE6B36"/>
    <w:rsid w:val="00CE6DB4"/>
    <w:rsid w:val="00CE7018"/>
    <w:rsid w:val="00CE735E"/>
    <w:rsid w:val="00CF02B7"/>
    <w:rsid w:val="00CF0367"/>
    <w:rsid w:val="00CF08A2"/>
    <w:rsid w:val="00CF142C"/>
    <w:rsid w:val="00CF1EC6"/>
    <w:rsid w:val="00CF21F0"/>
    <w:rsid w:val="00CF3336"/>
    <w:rsid w:val="00CF38FD"/>
    <w:rsid w:val="00CF4A87"/>
    <w:rsid w:val="00CF593E"/>
    <w:rsid w:val="00CF5A7A"/>
    <w:rsid w:val="00CF5F13"/>
    <w:rsid w:val="00CF6081"/>
    <w:rsid w:val="00CF6EB2"/>
    <w:rsid w:val="00CF7393"/>
    <w:rsid w:val="00CF7592"/>
    <w:rsid w:val="00CF759E"/>
    <w:rsid w:val="00CF76C4"/>
    <w:rsid w:val="00CF79DB"/>
    <w:rsid w:val="00CF7C1F"/>
    <w:rsid w:val="00CF7EC9"/>
    <w:rsid w:val="00CF7F0B"/>
    <w:rsid w:val="00D00040"/>
    <w:rsid w:val="00D00181"/>
    <w:rsid w:val="00D0033D"/>
    <w:rsid w:val="00D00B49"/>
    <w:rsid w:val="00D01104"/>
    <w:rsid w:val="00D017E5"/>
    <w:rsid w:val="00D01977"/>
    <w:rsid w:val="00D01B30"/>
    <w:rsid w:val="00D01D38"/>
    <w:rsid w:val="00D0214E"/>
    <w:rsid w:val="00D021FE"/>
    <w:rsid w:val="00D02496"/>
    <w:rsid w:val="00D027AB"/>
    <w:rsid w:val="00D0346F"/>
    <w:rsid w:val="00D03E20"/>
    <w:rsid w:val="00D04503"/>
    <w:rsid w:val="00D053FC"/>
    <w:rsid w:val="00D055DE"/>
    <w:rsid w:val="00D059FB"/>
    <w:rsid w:val="00D05AB0"/>
    <w:rsid w:val="00D06321"/>
    <w:rsid w:val="00D06A57"/>
    <w:rsid w:val="00D06A85"/>
    <w:rsid w:val="00D076A2"/>
    <w:rsid w:val="00D079A7"/>
    <w:rsid w:val="00D07B1C"/>
    <w:rsid w:val="00D07DA4"/>
    <w:rsid w:val="00D108C2"/>
    <w:rsid w:val="00D10F81"/>
    <w:rsid w:val="00D1140B"/>
    <w:rsid w:val="00D117BE"/>
    <w:rsid w:val="00D11A92"/>
    <w:rsid w:val="00D12251"/>
    <w:rsid w:val="00D12F68"/>
    <w:rsid w:val="00D1312A"/>
    <w:rsid w:val="00D13B1B"/>
    <w:rsid w:val="00D15073"/>
    <w:rsid w:val="00D1588A"/>
    <w:rsid w:val="00D15BBB"/>
    <w:rsid w:val="00D15C91"/>
    <w:rsid w:val="00D15F5B"/>
    <w:rsid w:val="00D1696D"/>
    <w:rsid w:val="00D17D06"/>
    <w:rsid w:val="00D17E9E"/>
    <w:rsid w:val="00D17FB3"/>
    <w:rsid w:val="00D2040F"/>
    <w:rsid w:val="00D2095E"/>
    <w:rsid w:val="00D20DC8"/>
    <w:rsid w:val="00D21716"/>
    <w:rsid w:val="00D21762"/>
    <w:rsid w:val="00D2365F"/>
    <w:rsid w:val="00D23735"/>
    <w:rsid w:val="00D23C20"/>
    <w:rsid w:val="00D24B98"/>
    <w:rsid w:val="00D26395"/>
    <w:rsid w:val="00D26425"/>
    <w:rsid w:val="00D26716"/>
    <w:rsid w:val="00D26A50"/>
    <w:rsid w:val="00D26DBD"/>
    <w:rsid w:val="00D30374"/>
    <w:rsid w:val="00D3079A"/>
    <w:rsid w:val="00D30DD6"/>
    <w:rsid w:val="00D31521"/>
    <w:rsid w:val="00D31904"/>
    <w:rsid w:val="00D31A60"/>
    <w:rsid w:val="00D31B14"/>
    <w:rsid w:val="00D31C09"/>
    <w:rsid w:val="00D320B7"/>
    <w:rsid w:val="00D32A3B"/>
    <w:rsid w:val="00D32A78"/>
    <w:rsid w:val="00D32C59"/>
    <w:rsid w:val="00D32D51"/>
    <w:rsid w:val="00D32F77"/>
    <w:rsid w:val="00D3304E"/>
    <w:rsid w:val="00D33178"/>
    <w:rsid w:val="00D3336F"/>
    <w:rsid w:val="00D3349D"/>
    <w:rsid w:val="00D33644"/>
    <w:rsid w:val="00D33A6A"/>
    <w:rsid w:val="00D33D5D"/>
    <w:rsid w:val="00D3402C"/>
    <w:rsid w:val="00D3406D"/>
    <w:rsid w:val="00D3488B"/>
    <w:rsid w:val="00D35DD7"/>
    <w:rsid w:val="00D36085"/>
    <w:rsid w:val="00D360BE"/>
    <w:rsid w:val="00D367BF"/>
    <w:rsid w:val="00D368C9"/>
    <w:rsid w:val="00D3697E"/>
    <w:rsid w:val="00D3698B"/>
    <w:rsid w:val="00D3728B"/>
    <w:rsid w:val="00D37CDF"/>
    <w:rsid w:val="00D4025F"/>
    <w:rsid w:val="00D40336"/>
    <w:rsid w:val="00D40663"/>
    <w:rsid w:val="00D418A1"/>
    <w:rsid w:val="00D41A3B"/>
    <w:rsid w:val="00D422E9"/>
    <w:rsid w:val="00D4247C"/>
    <w:rsid w:val="00D4265A"/>
    <w:rsid w:val="00D4267C"/>
    <w:rsid w:val="00D42886"/>
    <w:rsid w:val="00D42D1F"/>
    <w:rsid w:val="00D434F5"/>
    <w:rsid w:val="00D437BF"/>
    <w:rsid w:val="00D441A2"/>
    <w:rsid w:val="00D445B3"/>
    <w:rsid w:val="00D44B71"/>
    <w:rsid w:val="00D45296"/>
    <w:rsid w:val="00D45F37"/>
    <w:rsid w:val="00D4744F"/>
    <w:rsid w:val="00D50322"/>
    <w:rsid w:val="00D50ACA"/>
    <w:rsid w:val="00D50D7D"/>
    <w:rsid w:val="00D51345"/>
    <w:rsid w:val="00D514A9"/>
    <w:rsid w:val="00D517B7"/>
    <w:rsid w:val="00D51CA6"/>
    <w:rsid w:val="00D5232B"/>
    <w:rsid w:val="00D52ADB"/>
    <w:rsid w:val="00D532C9"/>
    <w:rsid w:val="00D53431"/>
    <w:rsid w:val="00D5372E"/>
    <w:rsid w:val="00D53861"/>
    <w:rsid w:val="00D53A9A"/>
    <w:rsid w:val="00D53AF2"/>
    <w:rsid w:val="00D54B1A"/>
    <w:rsid w:val="00D553D8"/>
    <w:rsid w:val="00D55A11"/>
    <w:rsid w:val="00D55DA1"/>
    <w:rsid w:val="00D55F54"/>
    <w:rsid w:val="00D565A4"/>
    <w:rsid w:val="00D569A6"/>
    <w:rsid w:val="00D56B48"/>
    <w:rsid w:val="00D56C78"/>
    <w:rsid w:val="00D60075"/>
    <w:rsid w:val="00D60475"/>
    <w:rsid w:val="00D60796"/>
    <w:rsid w:val="00D60E7B"/>
    <w:rsid w:val="00D635C0"/>
    <w:rsid w:val="00D637B2"/>
    <w:rsid w:val="00D63EBB"/>
    <w:rsid w:val="00D6434C"/>
    <w:rsid w:val="00D64986"/>
    <w:rsid w:val="00D64B00"/>
    <w:rsid w:val="00D65C4A"/>
    <w:rsid w:val="00D7053A"/>
    <w:rsid w:val="00D70C4B"/>
    <w:rsid w:val="00D70F2E"/>
    <w:rsid w:val="00D710F7"/>
    <w:rsid w:val="00D7143B"/>
    <w:rsid w:val="00D719D6"/>
    <w:rsid w:val="00D71FF8"/>
    <w:rsid w:val="00D734C8"/>
    <w:rsid w:val="00D735BF"/>
    <w:rsid w:val="00D73AE2"/>
    <w:rsid w:val="00D73D20"/>
    <w:rsid w:val="00D74AE9"/>
    <w:rsid w:val="00D74DCA"/>
    <w:rsid w:val="00D773C7"/>
    <w:rsid w:val="00D777F2"/>
    <w:rsid w:val="00D80539"/>
    <w:rsid w:val="00D816A8"/>
    <w:rsid w:val="00D819A8"/>
    <w:rsid w:val="00D822F2"/>
    <w:rsid w:val="00D82F0A"/>
    <w:rsid w:val="00D830AC"/>
    <w:rsid w:val="00D832E0"/>
    <w:rsid w:val="00D836AF"/>
    <w:rsid w:val="00D8371A"/>
    <w:rsid w:val="00D83C37"/>
    <w:rsid w:val="00D84188"/>
    <w:rsid w:val="00D8457D"/>
    <w:rsid w:val="00D84B5B"/>
    <w:rsid w:val="00D84BE4"/>
    <w:rsid w:val="00D84D5E"/>
    <w:rsid w:val="00D84DAB"/>
    <w:rsid w:val="00D8524B"/>
    <w:rsid w:val="00D85FE7"/>
    <w:rsid w:val="00D86289"/>
    <w:rsid w:val="00D86375"/>
    <w:rsid w:val="00D8687C"/>
    <w:rsid w:val="00D86881"/>
    <w:rsid w:val="00D87168"/>
    <w:rsid w:val="00D87D64"/>
    <w:rsid w:val="00D900D0"/>
    <w:rsid w:val="00D90264"/>
    <w:rsid w:val="00D90D1B"/>
    <w:rsid w:val="00D91129"/>
    <w:rsid w:val="00D915E6"/>
    <w:rsid w:val="00D918A6"/>
    <w:rsid w:val="00D918D5"/>
    <w:rsid w:val="00D923A5"/>
    <w:rsid w:val="00D924A0"/>
    <w:rsid w:val="00D92AB6"/>
    <w:rsid w:val="00D9318A"/>
    <w:rsid w:val="00D939A1"/>
    <w:rsid w:val="00D9459F"/>
    <w:rsid w:val="00D945FD"/>
    <w:rsid w:val="00D949AC"/>
    <w:rsid w:val="00D94C80"/>
    <w:rsid w:val="00D94FDF"/>
    <w:rsid w:val="00D954B7"/>
    <w:rsid w:val="00D956FA"/>
    <w:rsid w:val="00D957F7"/>
    <w:rsid w:val="00D95FC8"/>
    <w:rsid w:val="00D964D4"/>
    <w:rsid w:val="00D9692B"/>
    <w:rsid w:val="00D969D6"/>
    <w:rsid w:val="00D9729C"/>
    <w:rsid w:val="00D97946"/>
    <w:rsid w:val="00D97EBF"/>
    <w:rsid w:val="00DA0073"/>
    <w:rsid w:val="00DA0161"/>
    <w:rsid w:val="00DA01ED"/>
    <w:rsid w:val="00DA041B"/>
    <w:rsid w:val="00DA050B"/>
    <w:rsid w:val="00DA269D"/>
    <w:rsid w:val="00DA2C96"/>
    <w:rsid w:val="00DA372C"/>
    <w:rsid w:val="00DA4F0A"/>
    <w:rsid w:val="00DA53A1"/>
    <w:rsid w:val="00DA6BE1"/>
    <w:rsid w:val="00DA6F37"/>
    <w:rsid w:val="00DA73D1"/>
    <w:rsid w:val="00DA7659"/>
    <w:rsid w:val="00DA7876"/>
    <w:rsid w:val="00DA7920"/>
    <w:rsid w:val="00DB0233"/>
    <w:rsid w:val="00DB059F"/>
    <w:rsid w:val="00DB077C"/>
    <w:rsid w:val="00DB0BCB"/>
    <w:rsid w:val="00DB0BDF"/>
    <w:rsid w:val="00DB1EB5"/>
    <w:rsid w:val="00DB1FEB"/>
    <w:rsid w:val="00DB24C6"/>
    <w:rsid w:val="00DB350F"/>
    <w:rsid w:val="00DB3988"/>
    <w:rsid w:val="00DB3C0E"/>
    <w:rsid w:val="00DB405B"/>
    <w:rsid w:val="00DB41C0"/>
    <w:rsid w:val="00DB432A"/>
    <w:rsid w:val="00DB443B"/>
    <w:rsid w:val="00DB4A09"/>
    <w:rsid w:val="00DB61FE"/>
    <w:rsid w:val="00DB64FB"/>
    <w:rsid w:val="00DB6DD0"/>
    <w:rsid w:val="00DB6DE3"/>
    <w:rsid w:val="00DB71EB"/>
    <w:rsid w:val="00DB7822"/>
    <w:rsid w:val="00DB7B55"/>
    <w:rsid w:val="00DC051E"/>
    <w:rsid w:val="00DC061D"/>
    <w:rsid w:val="00DC0681"/>
    <w:rsid w:val="00DC11B7"/>
    <w:rsid w:val="00DC21BE"/>
    <w:rsid w:val="00DC2361"/>
    <w:rsid w:val="00DC34A1"/>
    <w:rsid w:val="00DC35AC"/>
    <w:rsid w:val="00DC3A0A"/>
    <w:rsid w:val="00DC414B"/>
    <w:rsid w:val="00DC444D"/>
    <w:rsid w:val="00DC4818"/>
    <w:rsid w:val="00DC49E0"/>
    <w:rsid w:val="00DC4C8C"/>
    <w:rsid w:val="00DC4F84"/>
    <w:rsid w:val="00DC5139"/>
    <w:rsid w:val="00DC5C2E"/>
    <w:rsid w:val="00DC5E58"/>
    <w:rsid w:val="00DC5F5D"/>
    <w:rsid w:val="00DC6711"/>
    <w:rsid w:val="00DC762F"/>
    <w:rsid w:val="00DC7805"/>
    <w:rsid w:val="00DC7BC6"/>
    <w:rsid w:val="00DD02AD"/>
    <w:rsid w:val="00DD0304"/>
    <w:rsid w:val="00DD0AD6"/>
    <w:rsid w:val="00DD1D8E"/>
    <w:rsid w:val="00DD1D97"/>
    <w:rsid w:val="00DD2D8C"/>
    <w:rsid w:val="00DD344A"/>
    <w:rsid w:val="00DD34FF"/>
    <w:rsid w:val="00DD3B85"/>
    <w:rsid w:val="00DD3FC2"/>
    <w:rsid w:val="00DD468A"/>
    <w:rsid w:val="00DD549F"/>
    <w:rsid w:val="00DD5CAA"/>
    <w:rsid w:val="00DD7E6A"/>
    <w:rsid w:val="00DE00B8"/>
    <w:rsid w:val="00DE078D"/>
    <w:rsid w:val="00DE0957"/>
    <w:rsid w:val="00DE137C"/>
    <w:rsid w:val="00DE150C"/>
    <w:rsid w:val="00DE1A08"/>
    <w:rsid w:val="00DE1A96"/>
    <w:rsid w:val="00DE21A8"/>
    <w:rsid w:val="00DE2B1E"/>
    <w:rsid w:val="00DE2F73"/>
    <w:rsid w:val="00DE3BE4"/>
    <w:rsid w:val="00DE3F56"/>
    <w:rsid w:val="00DE4065"/>
    <w:rsid w:val="00DE41F1"/>
    <w:rsid w:val="00DE44E2"/>
    <w:rsid w:val="00DE4500"/>
    <w:rsid w:val="00DE478B"/>
    <w:rsid w:val="00DE4A17"/>
    <w:rsid w:val="00DE4C7A"/>
    <w:rsid w:val="00DE4E22"/>
    <w:rsid w:val="00DE4FD1"/>
    <w:rsid w:val="00DE50F2"/>
    <w:rsid w:val="00DE5A6E"/>
    <w:rsid w:val="00DE5CB1"/>
    <w:rsid w:val="00DE604A"/>
    <w:rsid w:val="00DE6284"/>
    <w:rsid w:val="00DE6413"/>
    <w:rsid w:val="00DE649E"/>
    <w:rsid w:val="00DE6A3A"/>
    <w:rsid w:val="00DE7095"/>
    <w:rsid w:val="00DE7547"/>
    <w:rsid w:val="00DE7C8D"/>
    <w:rsid w:val="00DF004C"/>
    <w:rsid w:val="00DF02C0"/>
    <w:rsid w:val="00DF08AF"/>
    <w:rsid w:val="00DF0ECF"/>
    <w:rsid w:val="00DF2032"/>
    <w:rsid w:val="00DF2C5D"/>
    <w:rsid w:val="00DF379D"/>
    <w:rsid w:val="00DF3D13"/>
    <w:rsid w:val="00DF46E9"/>
    <w:rsid w:val="00DF4F8C"/>
    <w:rsid w:val="00DF6821"/>
    <w:rsid w:val="00DF6A1A"/>
    <w:rsid w:val="00DF6B2E"/>
    <w:rsid w:val="00DF6BEC"/>
    <w:rsid w:val="00DF6E56"/>
    <w:rsid w:val="00DF6E80"/>
    <w:rsid w:val="00DF7B9A"/>
    <w:rsid w:val="00E00338"/>
    <w:rsid w:val="00E00862"/>
    <w:rsid w:val="00E03333"/>
    <w:rsid w:val="00E03492"/>
    <w:rsid w:val="00E034CE"/>
    <w:rsid w:val="00E038AB"/>
    <w:rsid w:val="00E03B05"/>
    <w:rsid w:val="00E04E85"/>
    <w:rsid w:val="00E0562F"/>
    <w:rsid w:val="00E05778"/>
    <w:rsid w:val="00E05BB3"/>
    <w:rsid w:val="00E06F46"/>
    <w:rsid w:val="00E07D83"/>
    <w:rsid w:val="00E07FD2"/>
    <w:rsid w:val="00E10B08"/>
    <w:rsid w:val="00E114B5"/>
    <w:rsid w:val="00E11735"/>
    <w:rsid w:val="00E11907"/>
    <w:rsid w:val="00E121B2"/>
    <w:rsid w:val="00E12990"/>
    <w:rsid w:val="00E12B89"/>
    <w:rsid w:val="00E12D44"/>
    <w:rsid w:val="00E13B9E"/>
    <w:rsid w:val="00E14921"/>
    <w:rsid w:val="00E14F16"/>
    <w:rsid w:val="00E151AA"/>
    <w:rsid w:val="00E151D2"/>
    <w:rsid w:val="00E15575"/>
    <w:rsid w:val="00E15CF6"/>
    <w:rsid w:val="00E167A6"/>
    <w:rsid w:val="00E167EF"/>
    <w:rsid w:val="00E1782F"/>
    <w:rsid w:val="00E17A3D"/>
    <w:rsid w:val="00E17CF8"/>
    <w:rsid w:val="00E17FCA"/>
    <w:rsid w:val="00E200EB"/>
    <w:rsid w:val="00E20435"/>
    <w:rsid w:val="00E2098A"/>
    <w:rsid w:val="00E20BC9"/>
    <w:rsid w:val="00E20C34"/>
    <w:rsid w:val="00E2129D"/>
    <w:rsid w:val="00E21984"/>
    <w:rsid w:val="00E21A3D"/>
    <w:rsid w:val="00E21ACE"/>
    <w:rsid w:val="00E21C6C"/>
    <w:rsid w:val="00E22075"/>
    <w:rsid w:val="00E22241"/>
    <w:rsid w:val="00E232BD"/>
    <w:rsid w:val="00E232E7"/>
    <w:rsid w:val="00E23803"/>
    <w:rsid w:val="00E249E3"/>
    <w:rsid w:val="00E24E7D"/>
    <w:rsid w:val="00E24FE0"/>
    <w:rsid w:val="00E25D43"/>
    <w:rsid w:val="00E25EB0"/>
    <w:rsid w:val="00E260DC"/>
    <w:rsid w:val="00E26391"/>
    <w:rsid w:val="00E264A0"/>
    <w:rsid w:val="00E26995"/>
    <w:rsid w:val="00E269ED"/>
    <w:rsid w:val="00E26C78"/>
    <w:rsid w:val="00E270E2"/>
    <w:rsid w:val="00E27198"/>
    <w:rsid w:val="00E27656"/>
    <w:rsid w:val="00E27BD3"/>
    <w:rsid w:val="00E300FE"/>
    <w:rsid w:val="00E3083F"/>
    <w:rsid w:val="00E30EBD"/>
    <w:rsid w:val="00E311C8"/>
    <w:rsid w:val="00E31228"/>
    <w:rsid w:val="00E31A18"/>
    <w:rsid w:val="00E31C7D"/>
    <w:rsid w:val="00E32257"/>
    <w:rsid w:val="00E32A9F"/>
    <w:rsid w:val="00E3352C"/>
    <w:rsid w:val="00E33C89"/>
    <w:rsid w:val="00E33D89"/>
    <w:rsid w:val="00E35593"/>
    <w:rsid w:val="00E3611C"/>
    <w:rsid w:val="00E361DD"/>
    <w:rsid w:val="00E36AFE"/>
    <w:rsid w:val="00E36DD0"/>
    <w:rsid w:val="00E37339"/>
    <w:rsid w:val="00E37F87"/>
    <w:rsid w:val="00E40E9E"/>
    <w:rsid w:val="00E41387"/>
    <w:rsid w:val="00E41670"/>
    <w:rsid w:val="00E4174D"/>
    <w:rsid w:val="00E41877"/>
    <w:rsid w:val="00E41FE8"/>
    <w:rsid w:val="00E42582"/>
    <w:rsid w:val="00E43B46"/>
    <w:rsid w:val="00E43C45"/>
    <w:rsid w:val="00E44584"/>
    <w:rsid w:val="00E44E31"/>
    <w:rsid w:val="00E450A6"/>
    <w:rsid w:val="00E45792"/>
    <w:rsid w:val="00E45FDD"/>
    <w:rsid w:val="00E46601"/>
    <w:rsid w:val="00E500D3"/>
    <w:rsid w:val="00E500DB"/>
    <w:rsid w:val="00E501EE"/>
    <w:rsid w:val="00E50326"/>
    <w:rsid w:val="00E50D30"/>
    <w:rsid w:val="00E51279"/>
    <w:rsid w:val="00E5168C"/>
    <w:rsid w:val="00E528AC"/>
    <w:rsid w:val="00E52C52"/>
    <w:rsid w:val="00E52C5D"/>
    <w:rsid w:val="00E53479"/>
    <w:rsid w:val="00E53806"/>
    <w:rsid w:val="00E5428A"/>
    <w:rsid w:val="00E542CF"/>
    <w:rsid w:val="00E54BC2"/>
    <w:rsid w:val="00E54D1A"/>
    <w:rsid w:val="00E554AB"/>
    <w:rsid w:val="00E5594E"/>
    <w:rsid w:val="00E564FA"/>
    <w:rsid w:val="00E56967"/>
    <w:rsid w:val="00E576B7"/>
    <w:rsid w:val="00E57DFE"/>
    <w:rsid w:val="00E57F09"/>
    <w:rsid w:val="00E60375"/>
    <w:rsid w:val="00E606EC"/>
    <w:rsid w:val="00E61A5F"/>
    <w:rsid w:val="00E622AE"/>
    <w:rsid w:val="00E6255A"/>
    <w:rsid w:val="00E6264A"/>
    <w:rsid w:val="00E62755"/>
    <w:rsid w:val="00E62EA3"/>
    <w:rsid w:val="00E646BA"/>
    <w:rsid w:val="00E64EF4"/>
    <w:rsid w:val="00E65077"/>
    <w:rsid w:val="00E6521D"/>
    <w:rsid w:val="00E656B4"/>
    <w:rsid w:val="00E6664D"/>
    <w:rsid w:val="00E66839"/>
    <w:rsid w:val="00E66852"/>
    <w:rsid w:val="00E66917"/>
    <w:rsid w:val="00E7139D"/>
    <w:rsid w:val="00E71DD6"/>
    <w:rsid w:val="00E7214F"/>
    <w:rsid w:val="00E72421"/>
    <w:rsid w:val="00E72977"/>
    <w:rsid w:val="00E72FE4"/>
    <w:rsid w:val="00E73A09"/>
    <w:rsid w:val="00E73DBC"/>
    <w:rsid w:val="00E744D2"/>
    <w:rsid w:val="00E75320"/>
    <w:rsid w:val="00E77470"/>
    <w:rsid w:val="00E77489"/>
    <w:rsid w:val="00E774B9"/>
    <w:rsid w:val="00E77DC0"/>
    <w:rsid w:val="00E8007B"/>
    <w:rsid w:val="00E80601"/>
    <w:rsid w:val="00E80A99"/>
    <w:rsid w:val="00E80AB3"/>
    <w:rsid w:val="00E80F9B"/>
    <w:rsid w:val="00E8145B"/>
    <w:rsid w:val="00E81461"/>
    <w:rsid w:val="00E8179A"/>
    <w:rsid w:val="00E822F0"/>
    <w:rsid w:val="00E82BDD"/>
    <w:rsid w:val="00E83389"/>
    <w:rsid w:val="00E8365B"/>
    <w:rsid w:val="00E84456"/>
    <w:rsid w:val="00E84912"/>
    <w:rsid w:val="00E853E9"/>
    <w:rsid w:val="00E8548F"/>
    <w:rsid w:val="00E864F2"/>
    <w:rsid w:val="00E8668D"/>
    <w:rsid w:val="00E8678D"/>
    <w:rsid w:val="00E869F5"/>
    <w:rsid w:val="00E86C56"/>
    <w:rsid w:val="00E86EF7"/>
    <w:rsid w:val="00E87432"/>
    <w:rsid w:val="00E87474"/>
    <w:rsid w:val="00E875FE"/>
    <w:rsid w:val="00E87CCC"/>
    <w:rsid w:val="00E87EEA"/>
    <w:rsid w:val="00E9037B"/>
    <w:rsid w:val="00E90591"/>
    <w:rsid w:val="00E90717"/>
    <w:rsid w:val="00E9133E"/>
    <w:rsid w:val="00E91380"/>
    <w:rsid w:val="00E91ABB"/>
    <w:rsid w:val="00E91F95"/>
    <w:rsid w:val="00E9299D"/>
    <w:rsid w:val="00E92B59"/>
    <w:rsid w:val="00E92BCE"/>
    <w:rsid w:val="00E934F1"/>
    <w:rsid w:val="00E943F5"/>
    <w:rsid w:val="00E94C3C"/>
    <w:rsid w:val="00E94D01"/>
    <w:rsid w:val="00E952E1"/>
    <w:rsid w:val="00E953BF"/>
    <w:rsid w:val="00E9578B"/>
    <w:rsid w:val="00E95F8B"/>
    <w:rsid w:val="00E973B6"/>
    <w:rsid w:val="00E97609"/>
    <w:rsid w:val="00E97DA2"/>
    <w:rsid w:val="00EA0149"/>
    <w:rsid w:val="00EA0621"/>
    <w:rsid w:val="00EA10C1"/>
    <w:rsid w:val="00EA11FF"/>
    <w:rsid w:val="00EA12B0"/>
    <w:rsid w:val="00EA1EAD"/>
    <w:rsid w:val="00EA2628"/>
    <w:rsid w:val="00EA29B4"/>
    <w:rsid w:val="00EA2C88"/>
    <w:rsid w:val="00EA2CF7"/>
    <w:rsid w:val="00EA33CA"/>
    <w:rsid w:val="00EA379D"/>
    <w:rsid w:val="00EA384E"/>
    <w:rsid w:val="00EA3875"/>
    <w:rsid w:val="00EA391C"/>
    <w:rsid w:val="00EA3C69"/>
    <w:rsid w:val="00EA3C84"/>
    <w:rsid w:val="00EA41C6"/>
    <w:rsid w:val="00EA4C33"/>
    <w:rsid w:val="00EA6801"/>
    <w:rsid w:val="00EA6D5E"/>
    <w:rsid w:val="00EB061F"/>
    <w:rsid w:val="00EB0A70"/>
    <w:rsid w:val="00EB0F26"/>
    <w:rsid w:val="00EB1DAB"/>
    <w:rsid w:val="00EB2000"/>
    <w:rsid w:val="00EB25D9"/>
    <w:rsid w:val="00EB2DA8"/>
    <w:rsid w:val="00EB301B"/>
    <w:rsid w:val="00EB3104"/>
    <w:rsid w:val="00EB44E1"/>
    <w:rsid w:val="00EB46F3"/>
    <w:rsid w:val="00EB4B44"/>
    <w:rsid w:val="00EB54B6"/>
    <w:rsid w:val="00EB5695"/>
    <w:rsid w:val="00EB5DBB"/>
    <w:rsid w:val="00EB6049"/>
    <w:rsid w:val="00EB6204"/>
    <w:rsid w:val="00EB6619"/>
    <w:rsid w:val="00EB67C5"/>
    <w:rsid w:val="00EB6A55"/>
    <w:rsid w:val="00EB740A"/>
    <w:rsid w:val="00EC0110"/>
    <w:rsid w:val="00EC076C"/>
    <w:rsid w:val="00EC07A9"/>
    <w:rsid w:val="00EC0943"/>
    <w:rsid w:val="00EC0F29"/>
    <w:rsid w:val="00EC1210"/>
    <w:rsid w:val="00EC12CC"/>
    <w:rsid w:val="00EC20AA"/>
    <w:rsid w:val="00EC2449"/>
    <w:rsid w:val="00EC2F01"/>
    <w:rsid w:val="00EC3704"/>
    <w:rsid w:val="00EC380B"/>
    <w:rsid w:val="00EC3EE4"/>
    <w:rsid w:val="00EC458B"/>
    <w:rsid w:val="00EC4CC3"/>
    <w:rsid w:val="00EC4E47"/>
    <w:rsid w:val="00EC53C5"/>
    <w:rsid w:val="00EC62A5"/>
    <w:rsid w:val="00EC645C"/>
    <w:rsid w:val="00EC6506"/>
    <w:rsid w:val="00EC68B2"/>
    <w:rsid w:val="00EC6988"/>
    <w:rsid w:val="00EC6AD7"/>
    <w:rsid w:val="00EC6D72"/>
    <w:rsid w:val="00EC7B0D"/>
    <w:rsid w:val="00EC7B34"/>
    <w:rsid w:val="00ED04CD"/>
    <w:rsid w:val="00ED0506"/>
    <w:rsid w:val="00ED0893"/>
    <w:rsid w:val="00ED0B90"/>
    <w:rsid w:val="00ED0CE1"/>
    <w:rsid w:val="00ED11AD"/>
    <w:rsid w:val="00ED1B66"/>
    <w:rsid w:val="00ED1B81"/>
    <w:rsid w:val="00ED1CC3"/>
    <w:rsid w:val="00ED2187"/>
    <w:rsid w:val="00ED30DC"/>
    <w:rsid w:val="00ED331C"/>
    <w:rsid w:val="00ED3B70"/>
    <w:rsid w:val="00ED3DA3"/>
    <w:rsid w:val="00ED43A9"/>
    <w:rsid w:val="00ED4A8C"/>
    <w:rsid w:val="00ED4C42"/>
    <w:rsid w:val="00ED4F2F"/>
    <w:rsid w:val="00ED507C"/>
    <w:rsid w:val="00ED5404"/>
    <w:rsid w:val="00ED5972"/>
    <w:rsid w:val="00ED5A3A"/>
    <w:rsid w:val="00ED6071"/>
    <w:rsid w:val="00ED67F6"/>
    <w:rsid w:val="00ED694F"/>
    <w:rsid w:val="00ED6DE6"/>
    <w:rsid w:val="00ED743D"/>
    <w:rsid w:val="00ED7649"/>
    <w:rsid w:val="00ED7723"/>
    <w:rsid w:val="00ED7A70"/>
    <w:rsid w:val="00ED7BAB"/>
    <w:rsid w:val="00EE0861"/>
    <w:rsid w:val="00EE179C"/>
    <w:rsid w:val="00EE19E9"/>
    <w:rsid w:val="00EE2165"/>
    <w:rsid w:val="00EE2259"/>
    <w:rsid w:val="00EE28F3"/>
    <w:rsid w:val="00EE36B5"/>
    <w:rsid w:val="00EE3CFA"/>
    <w:rsid w:val="00EE420E"/>
    <w:rsid w:val="00EE42ED"/>
    <w:rsid w:val="00EE42FE"/>
    <w:rsid w:val="00EE4A49"/>
    <w:rsid w:val="00EE4E41"/>
    <w:rsid w:val="00EE500D"/>
    <w:rsid w:val="00EE51BF"/>
    <w:rsid w:val="00EE52ED"/>
    <w:rsid w:val="00EE587E"/>
    <w:rsid w:val="00EE5A54"/>
    <w:rsid w:val="00EE5BD1"/>
    <w:rsid w:val="00EE7239"/>
    <w:rsid w:val="00EE726F"/>
    <w:rsid w:val="00EE7DEF"/>
    <w:rsid w:val="00EF00DD"/>
    <w:rsid w:val="00EF03E2"/>
    <w:rsid w:val="00EF03E8"/>
    <w:rsid w:val="00EF0C3A"/>
    <w:rsid w:val="00EF0ECC"/>
    <w:rsid w:val="00EF1E9D"/>
    <w:rsid w:val="00EF2131"/>
    <w:rsid w:val="00EF27F0"/>
    <w:rsid w:val="00EF2A7F"/>
    <w:rsid w:val="00EF2B00"/>
    <w:rsid w:val="00EF2E44"/>
    <w:rsid w:val="00EF2EEC"/>
    <w:rsid w:val="00EF31CD"/>
    <w:rsid w:val="00EF32C3"/>
    <w:rsid w:val="00EF34AC"/>
    <w:rsid w:val="00EF39B7"/>
    <w:rsid w:val="00EF3BA0"/>
    <w:rsid w:val="00EF40EB"/>
    <w:rsid w:val="00EF4627"/>
    <w:rsid w:val="00EF4693"/>
    <w:rsid w:val="00EF4CB6"/>
    <w:rsid w:val="00EF4EFC"/>
    <w:rsid w:val="00EF5111"/>
    <w:rsid w:val="00EF5CF7"/>
    <w:rsid w:val="00EF647C"/>
    <w:rsid w:val="00EF6580"/>
    <w:rsid w:val="00EF6954"/>
    <w:rsid w:val="00EF6BE5"/>
    <w:rsid w:val="00EF6F6B"/>
    <w:rsid w:val="00EF78C4"/>
    <w:rsid w:val="00F000C5"/>
    <w:rsid w:val="00F001A3"/>
    <w:rsid w:val="00F00BE9"/>
    <w:rsid w:val="00F014B5"/>
    <w:rsid w:val="00F0152D"/>
    <w:rsid w:val="00F016D2"/>
    <w:rsid w:val="00F01735"/>
    <w:rsid w:val="00F0179E"/>
    <w:rsid w:val="00F01926"/>
    <w:rsid w:val="00F01EA4"/>
    <w:rsid w:val="00F02194"/>
    <w:rsid w:val="00F02612"/>
    <w:rsid w:val="00F0269D"/>
    <w:rsid w:val="00F027E3"/>
    <w:rsid w:val="00F029E0"/>
    <w:rsid w:val="00F02B16"/>
    <w:rsid w:val="00F02DFF"/>
    <w:rsid w:val="00F0378C"/>
    <w:rsid w:val="00F03B42"/>
    <w:rsid w:val="00F0426C"/>
    <w:rsid w:val="00F04B01"/>
    <w:rsid w:val="00F057C6"/>
    <w:rsid w:val="00F058D3"/>
    <w:rsid w:val="00F06840"/>
    <w:rsid w:val="00F06E3C"/>
    <w:rsid w:val="00F0714B"/>
    <w:rsid w:val="00F07561"/>
    <w:rsid w:val="00F10083"/>
    <w:rsid w:val="00F10536"/>
    <w:rsid w:val="00F110A1"/>
    <w:rsid w:val="00F11970"/>
    <w:rsid w:val="00F12605"/>
    <w:rsid w:val="00F12838"/>
    <w:rsid w:val="00F12C11"/>
    <w:rsid w:val="00F13B0A"/>
    <w:rsid w:val="00F142DA"/>
    <w:rsid w:val="00F145A2"/>
    <w:rsid w:val="00F14819"/>
    <w:rsid w:val="00F14B3E"/>
    <w:rsid w:val="00F14BAF"/>
    <w:rsid w:val="00F1509B"/>
    <w:rsid w:val="00F15BAD"/>
    <w:rsid w:val="00F15F3D"/>
    <w:rsid w:val="00F16865"/>
    <w:rsid w:val="00F169A0"/>
    <w:rsid w:val="00F16C32"/>
    <w:rsid w:val="00F172AD"/>
    <w:rsid w:val="00F17D9B"/>
    <w:rsid w:val="00F17F25"/>
    <w:rsid w:val="00F21862"/>
    <w:rsid w:val="00F2190B"/>
    <w:rsid w:val="00F223BB"/>
    <w:rsid w:val="00F22464"/>
    <w:rsid w:val="00F22A4D"/>
    <w:rsid w:val="00F22E11"/>
    <w:rsid w:val="00F23214"/>
    <w:rsid w:val="00F252A0"/>
    <w:rsid w:val="00F2535F"/>
    <w:rsid w:val="00F253EB"/>
    <w:rsid w:val="00F2571A"/>
    <w:rsid w:val="00F259B8"/>
    <w:rsid w:val="00F2602C"/>
    <w:rsid w:val="00F262BF"/>
    <w:rsid w:val="00F262F0"/>
    <w:rsid w:val="00F268CC"/>
    <w:rsid w:val="00F269B9"/>
    <w:rsid w:val="00F26DD0"/>
    <w:rsid w:val="00F27048"/>
    <w:rsid w:val="00F27223"/>
    <w:rsid w:val="00F27535"/>
    <w:rsid w:val="00F27857"/>
    <w:rsid w:val="00F27FD2"/>
    <w:rsid w:val="00F30E0E"/>
    <w:rsid w:val="00F3125C"/>
    <w:rsid w:val="00F322E1"/>
    <w:rsid w:val="00F324CE"/>
    <w:rsid w:val="00F32F70"/>
    <w:rsid w:val="00F33D9D"/>
    <w:rsid w:val="00F3457C"/>
    <w:rsid w:val="00F3459A"/>
    <w:rsid w:val="00F35118"/>
    <w:rsid w:val="00F35325"/>
    <w:rsid w:val="00F353E8"/>
    <w:rsid w:val="00F359BF"/>
    <w:rsid w:val="00F35D6C"/>
    <w:rsid w:val="00F35E08"/>
    <w:rsid w:val="00F36344"/>
    <w:rsid w:val="00F36AE0"/>
    <w:rsid w:val="00F36CF7"/>
    <w:rsid w:val="00F3796F"/>
    <w:rsid w:val="00F40551"/>
    <w:rsid w:val="00F405D6"/>
    <w:rsid w:val="00F40723"/>
    <w:rsid w:val="00F40814"/>
    <w:rsid w:val="00F41CCF"/>
    <w:rsid w:val="00F422FA"/>
    <w:rsid w:val="00F42449"/>
    <w:rsid w:val="00F42582"/>
    <w:rsid w:val="00F430D5"/>
    <w:rsid w:val="00F430FB"/>
    <w:rsid w:val="00F4332D"/>
    <w:rsid w:val="00F438AB"/>
    <w:rsid w:val="00F43B12"/>
    <w:rsid w:val="00F43FC3"/>
    <w:rsid w:val="00F4484C"/>
    <w:rsid w:val="00F44C5B"/>
    <w:rsid w:val="00F45601"/>
    <w:rsid w:val="00F4562B"/>
    <w:rsid w:val="00F46242"/>
    <w:rsid w:val="00F467C3"/>
    <w:rsid w:val="00F47DBE"/>
    <w:rsid w:val="00F50983"/>
    <w:rsid w:val="00F5098D"/>
    <w:rsid w:val="00F50B76"/>
    <w:rsid w:val="00F50C17"/>
    <w:rsid w:val="00F50E96"/>
    <w:rsid w:val="00F51017"/>
    <w:rsid w:val="00F51BF8"/>
    <w:rsid w:val="00F51D87"/>
    <w:rsid w:val="00F51FD4"/>
    <w:rsid w:val="00F52240"/>
    <w:rsid w:val="00F526C9"/>
    <w:rsid w:val="00F526E3"/>
    <w:rsid w:val="00F52973"/>
    <w:rsid w:val="00F52E69"/>
    <w:rsid w:val="00F534E9"/>
    <w:rsid w:val="00F5395A"/>
    <w:rsid w:val="00F53AD9"/>
    <w:rsid w:val="00F53B9D"/>
    <w:rsid w:val="00F53D8B"/>
    <w:rsid w:val="00F53F73"/>
    <w:rsid w:val="00F544FA"/>
    <w:rsid w:val="00F5645B"/>
    <w:rsid w:val="00F56D21"/>
    <w:rsid w:val="00F56E32"/>
    <w:rsid w:val="00F5767A"/>
    <w:rsid w:val="00F57971"/>
    <w:rsid w:val="00F57B3B"/>
    <w:rsid w:val="00F60C3B"/>
    <w:rsid w:val="00F60CF7"/>
    <w:rsid w:val="00F611E4"/>
    <w:rsid w:val="00F6308C"/>
    <w:rsid w:val="00F63259"/>
    <w:rsid w:val="00F63C36"/>
    <w:rsid w:val="00F65487"/>
    <w:rsid w:val="00F6566B"/>
    <w:rsid w:val="00F6776D"/>
    <w:rsid w:val="00F67F7C"/>
    <w:rsid w:val="00F70399"/>
    <w:rsid w:val="00F707E7"/>
    <w:rsid w:val="00F70BF8"/>
    <w:rsid w:val="00F70F71"/>
    <w:rsid w:val="00F71ACD"/>
    <w:rsid w:val="00F71C25"/>
    <w:rsid w:val="00F71D91"/>
    <w:rsid w:val="00F72356"/>
    <w:rsid w:val="00F724C6"/>
    <w:rsid w:val="00F72C3F"/>
    <w:rsid w:val="00F737CA"/>
    <w:rsid w:val="00F73FF4"/>
    <w:rsid w:val="00F741A3"/>
    <w:rsid w:val="00F74E4E"/>
    <w:rsid w:val="00F7596F"/>
    <w:rsid w:val="00F75B7D"/>
    <w:rsid w:val="00F76603"/>
    <w:rsid w:val="00F76930"/>
    <w:rsid w:val="00F769DD"/>
    <w:rsid w:val="00F76FA3"/>
    <w:rsid w:val="00F77717"/>
    <w:rsid w:val="00F77969"/>
    <w:rsid w:val="00F77AB8"/>
    <w:rsid w:val="00F77D66"/>
    <w:rsid w:val="00F77FBA"/>
    <w:rsid w:val="00F8056D"/>
    <w:rsid w:val="00F80852"/>
    <w:rsid w:val="00F809E9"/>
    <w:rsid w:val="00F80A6E"/>
    <w:rsid w:val="00F80DAC"/>
    <w:rsid w:val="00F81583"/>
    <w:rsid w:val="00F81A18"/>
    <w:rsid w:val="00F81AA6"/>
    <w:rsid w:val="00F81C0D"/>
    <w:rsid w:val="00F82579"/>
    <w:rsid w:val="00F82FEE"/>
    <w:rsid w:val="00F832B0"/>
    <w:rsid w:val="00F8354B"/>
    <w:rsid w:val="00F836E4"/>
    <w:rsid w:val="00F83F19"/>
    <w:rsid w:val="00F83F3D"/>
    <w:rsid w:val="00F83F79"/>
    <w:rsid w:val="00F8565D"/>
    <w:rsid w:val="00F85E8B"/>
    <w:rsid w:val="00F86500"/>
    <w:rsid w:val="00F86D32"/>
    <w:rsid w:val="00F87175"/>
    <w:rsid w:val="00F876D5"/>
    <w:rsid w:val="00F8785E"/>
    <w:rsid w:val="00F87970"/>
    <w:rsid w:val="00F9068F"/>
    <w:rsid w:val="00F90B8F"/>
    <w:rsid w:val="00F916E6"/>
    <w:rsid w:val="00F91ABB"/>
    <w:rsid w:val="00F91E98"/>
    <w:rsid w:val="00F92363"/>
    <w:rsid w:val="00F92862"/>
    <w:rsid w:val="00F92934"/>
    <w:rsid w:val="00F934C4"/>
    <w:rsid w:val="00F93F38"/>
    <w:rsid w:val="00F9448F"/>
    <w:rsid w:val="00F94BF7"/>
    <w:rsid w:val="00F95280"/>
    <w:rsid w:val="00F95537"/>
    <w:rsid w:val="00F959CB"/>
    <w:rsid w:val="00F95E5D"/>
    <w:rsid w:val="00F96BFB"/>
    <w:rsid w:val="00F979B6"/>
    <w:rsid w:val="00F97B86"/>
    <w:rsid w:val="00FA018C"/>
    <w:rsid w:val="00FA0893"/>
    <w:rsid w:val="00FA09A6"/>
    <w:rsid w:val="00FA166B"/>
    <w:rsid w:val="00FA1A64"/>
    <w:rsid w:val="00FA2093"/>
    <w:rsid w:val="00FA2708"/>
    <w:rsid w:val="00FA2E77"/>
    <w:rsid w:val="00FA3062"/>
    <w:rsid w:val="00FA4243"/>
    <w:rsid w:val="00FA42DE"/>
    <w:rsid w:val="00FA4404"/>
    <w:rsid w:val="00FA4BBD"/>
    <w:rsid w:val="00FA51AE"/>
    <w:rsid w:val="00FA5FB0"/>
    <w:rsid w:val="00FA68AF"/>
    <w:rsid w:val="00FA7506"/>
    <w:rsid w:val="00FA777E"/>
    <w:rsid w:val="00FA7EFB"/>
    <w:rsid w:val="00FB00C2"/>
    <w:rsid w:val="00FB0AD0"/>
    <w:rsid w:val="00FB0BB8"/>
    <w:rsid w:val="00FB1661"/>
    <w:rsid w:val="00FB16D8"/>
    <w:rsid w:val="00FB1BA3"/>
    <w:rsid w:val="00FB1C20"/>
    <w:rsid w:val="00FB249A"/>
    <w:rsid w:val="00FB29EE"/>
    <w:rsid w:val="00FB2E9A"/>
    <w:rsid w:val="00FB3398"/>
    <w:rsid w:val="00FB3DE2"/>
    <w:rsid w:val="00FB3E43"/>
    <w:rsid w:val="00FB40E4"/>
    <w:rsid w:val="00FB4B49"/>
    <w:rsid w:val="00FB4DD7"/>
    <w:rsid w:val="00FB4E36"/>
    <w:rsid w:val="00FB53F1"/>
    <w:rsid w:val="00FB5483"/>
    <w:rsid w:val="00FB609C"/>
    <w:rsid w:val="00FB67CB"/>
    <w:rsid w:val="00FB737D"/>
    <w:rsid w:val="00FB781B"/>
    <w:rsid w:val="00FB7C30"/>
    <w:rsid w:val="00FC006C"/>
    <w:rsid w:val="00FC1BE9"/>
    <w:rsid w:val="00FC1F22"/>
    <w:rsid w:val="00FC22B6"/>
    <w:rsid w:val="00FC33E1"/>
    <w:rsid w:val="00FC354F"/>
    <w:rsid w:val="00FC3D4A"/>
    <w:rsid w:val="00FC4A75"/>
    <w:rsid w:val="00FC552D"/>
    <w:rsid w:val="00FC5539"/>
    <w:rsid w:val="00FC5B07"/>
    <w:rsid w:val="00FC77B6"/>
    <w:rsid w:val="00FD0110"/>
    <w:rsid w:val="00FD0915"/>
    <w:rsid w:val="00FD0D5C"/>
    <w:rsid w:val="00FD0E37"/>
    <w:rsid w:val="00FD0FAB"/>
    <w:rsid w:val="00FD10FF"/>
    <w:rsid w:val="00FD1350"/>
    <w:rsid w:val="00FD136E"/>
    <w:rsid w:val="00FD2384"/>
    <w:rsid w:val="00FD268E"/>
    <w:rsid w:val="00FD4BA5"/>
    <w:rsid w:val="00FD4FBC"/>
    <w:rsid w:val="00FD5F8E"/>
    <w:rsid w:val="00FD635B"/>
    <w:rsid w:val="00FD6815"/>
    <w:rsid w:val="00FD701E"/>
    <w:rsid w:val="00FD7F39"/>
    <w:rsid w:val="00FD7FB8"/>
    <w:rsid w:val="00FE02B8"/>
    <w:rsid w:val="00FE0535"/>
    <w:rsid w:val="00FE05E8"/>
    <w:rsid w:val="00FE1089"/>
    <w:rsid w:val="00FE2AD4"/>
    <w:rsid w:val="00FE2EDC"/>
    <w:rsid w:val="00FE3AE5"/>
    <w:rsid w:val="00FE4711"/>
    <w:rsid w:val="00FE4B04"/>
    <w:rsid w:val="00FE5350"/>
    <w:rsid w:val="00FE5419"/>
    <w:rsid w:val="00FE601C"/>
    <w:rsid w:val="00FE6027"/>
    <w:rsid w:val="00FE6F09"/>
    <w:rsid w:val="00FE773A"/>
    <w:rsid w:val="00FE7EBC"/>
    <w:rsid w:val="00FF0107"/>
    <w:rsid w:val="00FF01F7"/>
    <w:rsid w:val="00FF038A"/>
    <w:rsid w:val="00FF10FB"/>
    <w:rsid w:val="00FF1B9A"/>
    <w:rsid w:val="00FF1FD1"/>
    <w:rsid w:val="00FF306B"/>
    <w:rsid w:val="00FF3472"/>
    <w:rsid w:val="00FF3BA5"/>
    <w:rsid w:val="00FF3CDF"/>
    <w:rsid w:val="00FF4720"/>
    <w:rsid w:val="00FF4D8C"/>
    <w:rsid w:val="00FF5B28"/>
    <w:rsid w:val="00FF6541"/>
    <w:rsid w:val="00FF6581"/>
    <w:rsid w:val="00FF7538"/>
    <w:rsid w:val="00FF7540"/>
    <w:rsid w:val="00FF7BD6"/>
    <w:rsid w:val="00FF7D04"/>
    <w:rsid w:val="00FF7ED6"/>
    <w:rsid w:val="012D7E22"/>
    <w:rsid w:val="0191F024"/>
    <w:rsid w:val="01AA4013"/>
    <w:rsid w:val="01F01860"/>
    <w:rsid w:val="020774A1"/>
    <w:rsid w:val="020D5B5C"/>
    <w:rsid w:val="024DFB13"/>
    <w:rsid w:val="0260F8D6"/>
    <w:rsid w:val="0260FE8B"/>
    <w:rsid w:val="026AEA07"/>
    <w:rsid w:val="026E9715"/>
    <w:rsid w:val="0290B4E4"/>
    <w:rsid w:val="02916740"/>
    <w:rsid w:val="0292EF00"/>
    <w:rsid w:val="02930350"/>
    <w:rsid w:val="029EC181"/>
    <w:rsid w:val="02EDC097"/>
    <w:rsid w:val="03049883"/>
    <w:rsid w:val="03049F5D"/>
    <w:rsid w:val="030AF5E3"/>
    <w:rsid w:val="030F0C19"/>
    <w:rsid w:val="031DD682"/>
    <w:rsid w:val="03273753"/>
    <w:rsid w:val="032F7E20"/>
    <w:rsid w:val="034B144E"/>
    <w:rsid w:val="0396A92F"/>
    <w:rsid w:val="03BDB5F5"/>
    <w:rsid w:val="040D5188"/>
    <w:rsid w:val="041BE073"/>
    <w:rsid w:val="04420CF4"/>
    <w:rsid w:val="047807D1"/>
    <w:rsid w:val="04A903DF"/>
    <w:rsid w:val="04E98D93"/>
    <w:rsid w:val="04F0F4A5"/>
    <w:rsid w:val="04F543A5"/>
    <w:rsid w:val="050FFCC5"/>
    <w:rsid w:val="0545897C"/>
    <w:rsid w:val="054606B4"/>
    <w:rsid w:val="056D9603"/>
    <w:rsid w:val="056F8D70"/>
    <w:rsid w:val="05AC5A3C"/>
    <w:rsid w:val="05BEC4A4"/>
    <w:rsid w:val="05F57C4D"/>
    <w:rsid w:val="05FB9232"/>
    <w:rsid w:val="060D79AF"/>
    <w:rsid w:val="0617D376"/>
    <w:rsid w:val="063D799B"/>
    <w:rsid w:val="064C5668"/>
    <w:rsid w:val="06686499"/>
    <w:rsid w:val="06850D69"/>
    <w:rsid w:val="06A9132F"/>
    <w:rsid w:val="06C3E8C3"/>
    <w:rsid w:val="06FA2D38"/>
    <w:rsid w:val="06FA5882"/>
    <w:rsid w:val="07384E28"/>
    <w:rsid w:val="074E757E"/>
    <w:rsid w:val="07553223"/>
    <w:rsid w:val="07597DA6"/>
    <w:rsid w:val="07A24395"/>
    <w:rsid w:val="07DF6B4B"/>
    <w:rsid w:val="080AC9E2"/>
    <w:rsid w:val="082C48E1"/>
    <w:rsid w:val="08A12425"/>
    <w:rsid w:val="08ADA4EE"/>
    <w:rsid w:val="08AE1116"/>
    <w:rsid w:val="08DDFF08"/>
    <w:rsid w:val="08F3F573"/>
    <w:rsid w:val="090CED17"/>
    <w:rsid w:val="092EE4A2"/>
    <w:rsid w:val="0946CA1C"/>
    <w:rsid w:val="0969D830"/>
    <w:rsid w:val="09B621E0"/>
    <w:rsid w:val="09BEC61C"/>
    <w:rsid w:val="09D95A5C"/>
    <w:rsid w:val="09ED621A"/>
    <w:rsid w:val="09F396F1"/>
    <w:rsid w:val="0A01A914"/>
    <w:rsid w:val="0A0A22B5"/>
    <w:rsid w:val="0A0A7539"/>
    <w:rsid w:val="0A1D9C2A"/>
    <w:rsid w:val="0A70C222"/>
    <w:rsid w:val="0A9817C0"/>
    <w:rsid w:val="0AA3501C"/>
    <w:rsid w:val="0AB37F48"/>
    <w:rsid w:val="0ACAEE5A"/>
    <w:rsid w:val="0ADCA84F"/>
    <w:rsid w:val="0AF87CA7"/>
    <w:rsid w:val="0B06FAF4"/>
    <w:rsid w:val="0B54EDC2"/>
    <w:rsid w:val="0B8EDEB7"/>
    <w:rsid w:val="0B8FD45C"/>
    <w:rsid w:val="0BAE29B0"/>
    <w:rsid w:val="0BBEFF17"/>
    <w:rsid w:val="0BD8BD44"/>
    <w:rsid w:val="0BE7D516"/>
    <w:rsid w:val="0BEF7BDC"/>
    <w:rsid w:val="0BFDFD46"/>
    <w:rsid w:val="0C336205"/>
    <w:rsid w:val="0C55014F"/>
    <w:rsid w:val="0C5757BE"/>
    <w:rsid w:val="0C76A26B"/>
    <w:rsid w:val="0C7C3FAF"/>
    <w:rsid w:val="0C96D77A"/>
    <w:rsid w:val="0C9BBEF8"/>
    <w:rsid w:val="0CB5A235"/>
    <w:rsid w:val="0CC4F3A4"/>
    <w:rsid w:val="0CD9A06E"/>
    <w:rsid w:val="0D3BEDFB"/>
    <w:rsid w:val="0D55FA40"/>
    <w:rsid w:val="0D567899"/>
    <w:rsid w:val="0D67B06F"/>
    <w:rsid w:val="0D6FE89D"/>
    <w:rsid w:val="0D9119AB"/>
    <w:rsid w:val="0D9282DA"/>
    <w:rsid w:val="0DA58E3A"/>
    <w:rsid w:val="0DB57770"/>
    <w:rsid w:val="0DB70FBC"/>
    <w:rsid w:val="0DC341E2"/>
    <w:rsid w:val="0E284E5A"/>
    <w:rsid w:val="0E503493"/>
    <w:rsid w:val="0E52E280"/>
    <w:rsid w:val="0E544076"/>
    <w:rsid w:val="0E6CCB9D"/>
    <w:rsid w:val="0E74D74C"/>
    <w:rsid w:val="0E85A0AA"/>
    <w:rsid w:val="0E9AD074"/>
    <w:rsid w:val="0EB1D04D"/>
    <w:rsid w:val="0ECEBF0C"/>
    <w:rsid w:val="0EE5F8C1"/>
    <w:rsid w:val="0EF11790"/>
    <w:rsid w:val="0F0EA337"/>
    <w:rsid w:val="0F0F8117"/>
    <w:rsid w:val="0F317DDE"/>
    <w:rsid w:val="0F50FC6C"/>
    <w:rsid w:val="0F5DC492"/>
    <w:rsid w:val="0F8C77F8"/>
    <w:rsid w:val="0F99EC18"/>
    <w:rsid w:val="10269033"/>
    <w:rsid w:val="105B4B47"/>
    <w:rsid w:val="108AD685"/>
    <w:rsid w:val="10A0853A"/>
    <w:rsid w:val="10ECB469"/>
    <w:rsid w:val="110AAA59"/>
    <w:rsid w:val="110CF3AB"/>
    <w:rsid w:val="110E4D17"/>
    <w:rsid w:val="111FA213"/>
    <w:rsid w:val="11228090"/>
    <w:rsid w:val="1125994C"/>
    <w:rsid w:val="1135F94D"/>
    <w:rsid w:val="1159AD3B"/>
    <w:rsid w:val="11AC3810"/>
    <w:rsid w:val="11BD20CA"/>
    <w:rsid w:val="11EC3590"/>
    <w:rsid w:val="11F18469"/>
    <w:rsid w:val="12147F69"/>
    <w:rsid w:val="12641259"/>
    <w:rsid w:val="129DAC6C"/>
    <w:rsid w:val="12BB8D18"/>
    <w:rsid w:val="12BDBB3D"/>
    <w:rsid w:val="12DF2255"/>
    <w:rsid w:val="12FEFE1E"/>
    <w:rsid w:val="13039027"/>
    <w:rsid w:val="13148E93"/>
    <w:rsid w:val="13689BB3"/>
    <w:rsid w:val="139CA73D"/>
    <w:rsid w:val="13A9B137"/>
    <w:rsid w:val="13AA581A"/>
    <w:rsid w:val="13ABF4EE"/>
    <w:rsid w:val="13BE42CF"/>
    <w:rsid w:val="13C56D96"/>
    <w:rsid w:val="13CEA6AA"/>
    <w:rsid w:val="13F79147"/>
    <w:rsid w:val="14039FC1"/>
    <w:rsid w:val="143A3BC7"/>
    <w:rsid w:val="14404B0D"/>
    <w:rsid w:val="145B5812"/>
    <w:rsid w:val="14719291"/>
    <w:rsid w:val="14786694"/>
    <w:rsid w:val="14954149"/>
    <w:rsid w:val="149B026E"/>
    <w:rsid w:val="14B2C562"/>
    <w:rsid w:val="14F5013D"/>
    <w:rsid w:val="15116523"/>
    <w:rsid w:val="15306C5E"/>
    <w:rsid w:val="15340951"/>
    <w:rsid w:val="15422AD2"/>
    <w:rsid w:val="154E55FF"/>
    <w:rsid w:val="15619939"/>
    <w:rsid w:val="156D0121"/>
    <w:rsid w:val="158D4DCA"/>
    <w:rsid w:val="1596FB2B"/>
    <w:rsid w:val="159BB133"/>
    <w:rsid w:val="15A8BCA0"/>
    <w:rsid w:val="162EE506"/>
    <w:rsid w:val="16496581"/>
    <w:rsid w:val="16760FE0"/>
    <w:rsid w:val="167ECCB6"/>
    <w:rsid w:val="16ECD654"/>
    <w:rsid w:val="170AD4C4"/>
    <w:rsid w:val="1713C77C"/>
    <w:rsid w:val="171568B3"/>
    <w:rsid w:val="1725BC09"/>
    <w:rsid w:val="1729089B"/>
    <w:rsid w:val="173C1D8A"/>
    <w:rsid w:val="17A15C55"/>
    <w:rsid w:val="17A68C5E"/>
    <w:rsid w:val="17DCA685"/>
    <w:rsid w:val="17DE02CE"/>
    <w:rsid w:val="17FA6F22"/>
    <w:rsid w:val="1834C463"/>
    <w:rsid w:val="184D6550"/>
    <w:rsid w:val="1860E363"/>
    <w:rsid w:val="18BB9FDA"/>
    <w:rsid w:val="18FCF168"/>
    <w:rsid w:val="19010D60"/>
    <w:rsid w:val="190FB02F"/>
    <w:rsid w:val="19128BC2"/>
    <w:rsid w:val="19354D20"/>
    <w:rsid w:val="193DF21F"/>
    <w:rsid w:val="19469A01"/>
    <w:rsid w:val="1996F761"/>
    <w:rsid w:val="19C37FDC"/>
    <w:rsid w:val="19DD9585"/>
    <w:rsid w:val="1A09752F"/>
    <w:rsid w:val="1A1AD01F"/>
    <w:rsid w:val="1A44FD01"/>
    <w:rsid w:val="1A5958A1"/>
    <w:rsid w:val="1A6701F7"/>
    <w:rsid w:val="1AA520E0"/>
    <w:rsid w:val="1AEBE1DA"/>
    <w:rsid w:val="1AF8B062"/>
    <w:rsid w:val="1B02D8E8"/>
    <w:rsid w:val="1B441C6A"/>
    <w:rsid w:val="1B452392"/>
    <w:rsid w:val="1B7DEE9E"/>
    <w:rsid w:val="1B9BF5CF"/>
    <w:rsid w:val="1BA88953"/>
    <w:rsid w:val="1BB74E47"/>
    <w:rsid w:val="1BDD546B"/>
    <w:rsid w:val="1C02D48A"/>
    <w:rsid w:val="1C4F716A"/>
    <w:rsid w:val="1C5AC1DB"/>
    <w:rsid w:val="1C5E3208"/>
    <w:rsid w:val="1C70F7E5"/>
    <w:rsid w:val="1C719A6B"/>
    <w:rsid w:val="1C7B0EF9"/>
    <w:rsid w:val="1C865602"/>
    <w:rsid w:val="1C894A8F"/>
    <w:rsid w:val="1C9759B1"/>
    <w:rsid w:val="1CCA8D49"/>
    <w:rsid w:val="1CDE9B95"/>
    <w:rsid w:val="1CE574B6"/>
    <w:rsid w:val="1CEA5EED"/>
    <w:rsid w:val="1D07EFC6"/>
    <w:rsid w:val="1D08CC65"/>
    <w:rsid w:val="1D0BC459"/>
    <w:rsid w:val="1D205813"/>
    <w:rsid w:val="1D404239"/>
    <w:rsid w:val="1D408691"/>
    <w:rsid w:val="1D4B1977"/>
    <w:rsid w:val="1D64A11E"/>
    <w:rsid w:val="1DB3428B"/>
    <w:rsid w:val="1DC110FA"/>
    <w:rsid w:val="1DC7723F"/>
    <w:rsid w:val="1DD0773F"/>
    <w:rsid w:val="1DD22AF8"/>
    <w:rsid w:val="1E2515B4"/>
    <w:rsid w:val="1E25756D"/>
    <w:rsid w:val="1E4B1373"/>
    <w:rsid w:val="1E4B7E81"/>
    <w:rsid w:val="1E4B898B"/>
    <w:rsid w:val="1E64D4EF"/>
    <w:rsid w:val="1E865B02"/>
    <w:rsid w:val="1ED0463C"/>
    <w:rsid w:val="1EEDE48D"/>
    <w:rsid w:val="1F29D6B9"/>
    <w:rsid w:val="1F57CFD1"/>
    <w:rsid w:val="1F5D0D56"/>
    <w:rsid w:val="1F5F8799"/>
    <w:rsid w:val="1F650736"/>
    <w:rsid w:val="1F691BC9"/>
    <w:rsid w:val="1F864FAD"/>
    <w:rsid w:val="1F8DB019"/>
    <w:rsid w:val="1FE21562"/>
    <w:rsid w:val="1FF9D4B0"/>
    <w:rsid w:val="1FFDA3B7"/>
    <w:rsid w:val="2005D684"/>
    <w:rsid w:val="20AF01F3"/>
    <w:rsid w:val="20BD7CC0"/>
    <w:rsid w:val="20DFF744"/>
    <w:rsid w:val="20E351CB"/>
    <w:rsid w:val="20ED8A2C"/>
    <w:rsid w:val="2102B33F"/>
    <w:rsid w:val="21446E63"/>
    <w:rsid w:val="21789EB5"/>
    <w:rsid w:val="218911E3"/>
    <w:rsid w:val="21982509"/>
    <w:rsid w:val="21A1D3DC"/>
    <w:rsid w:val="21D518C3"/>
    <w:rsid w:val="21D5636A"/>
    <w:rsid w:val="221CA792"/>
    <w:rsid w:val="2232E2E5"/>
    <w:rsid w:val="22950770"/>
    <w:rsid w:val="22A422DE"/>
    <w:rsid w:val="22BFC652"/>
    <w:rsid w:val="22D0D5B2"/>
    <w:rsid w:val="22FC3E49"/>
    <w:rsid w:val="23129994"/>
    <w:rsid w:val="23302ACE"/>
    <w:rsid w:val="233B3E70"/>
    <w:rsid w:val="23636B01"/>
    <w:rsid w:val="236EAC7B"/>
    <w:rsid w:val="23711BD2"/>
    <w:rsid w:val="2372DCD4"/>
    <w:rsid w:val="238ABC4A"/>
    <w:rsid w:val="23B51253"/>
    <w:rsid w:val="23BA40F0"/>
    <w:rsid w:val="23C1C9B7"/>
    <w:rsid w:val="23EA2BA8"/>
    <w:rsid w:val="241AA52D"/>
    <w:rsid w:val="24375807"/>
    <w:rsid w:val="243A4B0D"/>
    <w:rsid w:val="24779039"/>
    <w:rsid w:val="248E1228"/>
    <w:rsid w:val="249408B5"/>
    <w:rsid w:val="24C98D8F"/>
    <w:rsid w:val="250E28AC"/>
    <w:rsid w:val="251385E3"/>
    <w:rsid w:val="251C4EA4"/>
    <w:rsid w:val="252617D0"/>
    <w:rsid w:val="255DB411"/>
    <w:rsid w:val="2578E3C0"/>
    <w:rsid w:val="258ECC9E"/>
    <w:rsid w:val="259982B8"/>
    <w:rsid w:val="25B03925"/>
    <w:rsid w:val="25B140AA"/>
    <w:rsid w:val="25BB3358"/>
    <w:rsid w:val="25FD9D41"/>
    <w:rsid w:val="26027A3D"/>
    <w:rsid w:val="260F9635"/>
    <w:rsid w:val="2618EE06"/>
    <w:rsid w:val="262E7F3D"/>
    <w:rsid w:val="266A2EF7"/>
    <w:rsid w:val="26CF1D30"/>
    <w:rsid w:val="26DDAB34"/>
    <w:rsid w:val="270073B8"/>
    <w:rsid w:val="27094D51"/>
    <w:rsid w:val="274DBF5D"/>
    <w:rsid w:val="276C7A9E"/>
    <w:rsid w:val="278C5CBD"/>
    <w:rsid w:val="279E9609"/>
    <w:rsid w:val="27D7B8DE"/>
    <w:rsid w:val="27E275A5"/>
    <w:rsid w:val="27ED167C"/>
    <w:rsid w:val="2802A093"/>
    <w:rsid w:val="2806D721"/>
    <w:rsid w:val="28218AC3"/>
    <w:rsid w:val="283F2208"/>
    <w:rsid w:val="287413BE"/>
    <w:rsid w:val="28BA110E"/>
    <w:rsid w:val="28D58E3F"/>
    <w:rsid w:val="28EC0C77"/>
    <w:rsid w:val="28EFF321"/>
    <w:rsid w:val="28F4D4FD"/>
    <w:rsid w:val="28F94D56"/>
    <w:rsid w:val="2952D1FD"/>
    <w:rsid w:val="2970F74B"/>
    <w:rsid w:val="29B7BF73"/>
    <w:rsid w:val="29E4502C"/>
    <w:rsid w:val="29F4EF5A"/>
    <w:rsid w:val="29F92E55"/>
    <w:rsid w:val="2A1B02B3"/>
    <w:rsid w:val="2A3158B6"/>
    <w:rsid w:val="2A585B84"/>
    <w:rsid w:val="2A78A508"/>
    <w:rsid w:val="2A7C6497"/>
    <w:rsid w:val="2AB47F29"/>
    <w:rsid w:val="2ABA8595"/>
    <w:rsid w:val="2B4FD399"/>
    <w:rsid w:val="2B692334"/>
    <w:rsid w:val="2B6E7E18"/>
    <w:rsid w:val="2B80BE98"/>
    <w:rsid w:val="2B858FD6"/>
    <w:rsid w:val="2B86A07F"/>
    <w:rsid w:val="2B8ED29B"/>
    <w:rsid w:val="2BEDB1B7"/>
    <w:rsid w:val="2C05F620"/>
    <w:rsid w:val="2C558EB6"/>
    <w:rsid w:val="2C607C9A"/>
    <w:rsid w:val="2CA2F397"/>
    <w:rsid w:val="2CC95446"/>
    <w:rsid w:val="2CF2E56E"/>
    <w:rsid w:val="2CF792AD"/>
    <w:rsid w:val="2D332964"/>
    <w:rsid w:val="2D47F41F"/>
    <w:rsid w:val="2D4C1070"/>
    <w:rsid w:val="2D4E58FA"/>
    <w:rsid w:val="2D6605BF"/>
    <w:rsid w:val="2D9CBEAB"/>
    <w:rsid w:val="2DAF69FB"/>
    <w:rsid w:val="2DE79A59"/>
    <w:rsid w:val="2E1151B3"/>
    <w:rsid w:val="2E170DF2"/>
    <w:rsid w:val="2E2C9354"/>
    <w:rsid w:val="2E2E8554"/>
    <w:rsid w:val="2E3A4FA9"/>
    <w:rsid w:val="2E5E85BE"/>
    <w:rsid w:val="2E60286E"/>
    <w:rsid w:val="2E67070E"/>
    <w:rsid w:val="2E783789"/>
    <w:rsid w:val="2ED72CF3"/>
    <w:rsid w:val="2EDF499A"/>
    <w:rsid w:val="2EF43236"/>
    <w:rsid w:val="2EF8EA91"/>
    <w:rsid w:val="2EFADF71"/>
    <w:rsid w:val="2F1A05A3"/>
    <w:rsid w:val="2F3C52E4"/>
    <w:rsid w:val="2F565901"/>
    <w:rsid w:val="2F654D37"/>
    <w:rsid w:val="2F972D39"/>
    <w:rsid w:val="2FB5F0FB"/>
    <w:rsid w:val="2FF767FC"/>
    <w:rsid w:val="30544C09"/>
    <w:rsid w:val="305B085F"/>
    <w:rsid w:val="30AC8298"/>
    <w:rsid w:val="30B3F791"/>
    <w:rsid w:val="30D5BF83"/>
    <w:rsid w:val="30E46D30"/>
    <w:rsid w:val="30EC73DF"/>
    <w:rsid w:val="310CD884"/>
    <w:rsid w:val="311FB19F"/>
    <w:rsid w:val="3129DC0E"/>
    <w:rsid w:val="3135D605"/>
    <w:rsid w:val="313D8615"/>
    <w:rsid w:val="314566D1"/>
    <w:rsid w:val="3149DF7D"/>
    <w:rsid w:val="314F2374"/>
    <w:rsid w:val="316A3B95"/>
    <w:rsid w:val="31A815FA"/>
    <w:rsid w:val="31BB3A84"/>
    <w:rsid w:val="31C96BB1"/>
    <w:rsid w:val="31FFA9B9"/>
    <w:rsid w:val="32175C68"/>
    <w:rsid w:val="3221B5B1"/>
    <w:rsid w:val="324786E5"/>
    <w:rsid w:val="3259851A"/>
    <w:rsid w:val="3259D8AF"/>
    <w:rsid w:val="325E17A9"/>
    <w:rsid w:val="3269FA27"/>
    <w:rsid w:val="329D5A8F"/>
    <w:rsid w:val="32A67CF8"/>
    <w:rsid w:val="32ABF8EC"/>
    <w:rsid w:val="32B32CAC"/>
    <w:rsid w:val="32D6ADAA"/>
    <w:rsid w:val="32D8D6AD"/>
    <w:rsid w:val="32E65C07"/>
    <w:rsid w:val="3331C133"/>
    <w:rsid w:val="333CBDF2"/>
    <w:rsid w:val="334E1E72"/>
    <w:rsid w:val="334E4D01"/>
    <w:rsid w:val="336777AD"/>
    <w:rsid w:val="336B5502"/>
    <w:rsid w:val="3385622D"/>
    <w:rsid w:val="339F273A"/>
    <w:rsid w:val="33B56DE7"/>
    <w:rsid w:val="33CC8F12"/>
    <w:rsid w:val="3445A29A"/>
    <w:rsid w:val="34627E0E"/>
    <w:rsid w:val="3463901A"/>
    <w:rsid w:val="34851C16"/>
    <w:rsid w:val="34ACB79C"/>
    <w:rsid w:val="34CB8482"/>
    <w:rsid w:val="34D4048E"/>
    <w:rsid w:val="34E6F206"/>
    <w:rsid w:val="34ECAF91"/>
    <w:rsid w:val="34F259B0"/>
    <w:rsid w:val="34FA536B"/>
    <w:rsid w:val="35118B5C"/>
    <w:rsid w:val="353E23A4"/>
    <w:rsid w:val="35442EE1"/>
    <w:rsid w:val="35546F10"/>
    <w:rsid w:val="35634258"/>
    <w:rsid w:val="359A3CFD"/>
    <w:rsid w:val="35A23015"/>
    <w:rsid w:val="35AA0451"/>
    <w:rsid w:val="35B0CC36"/>
    <w:rsid w:val="35BFEF57"/>
    <w:rsid w:val="35D0722E"/>
    <w:rsid w:val="35D16124"/>
    <w:rsid w:val="35E4A012"/>
    <w:rsid w:val="36069381"/>
    <w:rsid w:val="3625274D"/>
    <w:rsid w:val="36275451"/>
    <w:rsid w:val="3633EEAA"/>
    <w:rsid w:val="3643D34E"/>
    <w:rsid w:val="365871A6"/>
    <w:rsid w:val="3666973F"/>
    <w:rsid w:val="36697C75"/>
    <w:rsid w:val="367EA313"/>
    <w:rsid w:val="3684BCD8"/>
    <w:rsid w:val="36A36455"/>
    <w:rsid w:val="36ABA597"/>
    <w:rsid w:val="36D962D1"/>
    <w:rsid w:val="36DBEF26"/>
    <w:rsid w:val="36ED19EF"/>
    <w:rsid w:val="370114B0"/>
    <w:rsid w:val="37203EE5"/>
    <w:rsid w:val="372CD525"/>
    <w:rsid w:val="3765848D"/>
    <w:rsid w:val="3780C8ED"/>
    <w:rsid w:val="379DD331"/>
    <w:rsid w:val="37DB7AF8"/>
    <w:rsid w:val="37FDB398"/>
    <w:rsid w:val="380DF0C3"/>
    <w:rsid w:val="38198D5D"/>
    <w:rsid w:val="381A9A75"/>
    <w:rsid w:val="383BF502"/>
    <w:rsid w:val="3872D20C"/>
    <w:rsid w:val="388C95EA"/>
    <w:rsid w:val="38962430"/>
    <w:rsid w:val="38DCE733"/>
    <w:rsid w:val="38F15D83"/>
    <w:rsid w:val="38F1D231"/>
    <w:rsid w:val="38F4E420"/>
    <w:rsid w:val="3907F764"/>
    <w:rsid w:val="391A6785"/>
    <w:rsid w:val="39315257"/>
    <w:rsid w:val="393864D7"/>
    <w:rsid w:val="3939D69B"/>
    <w:rsid w:val="398CEEAF"/>
    <w:rsid w:val="39923CB6"/>
    <w:rsid w:val="39B73478"/>
    <w:rsid w:val="39CF65CD"/>
    <w:rsid w:val="39EC3993"/>
    <w:rsid w:val="39F03CF8"/>
    <w:rsid w:val="39F263E2"/>
    <w:rsid w:val="39FFCF78"/>
    <w:rsid w:val="3A17D08B"/>
    <w:rsid w:val="3A239573"/>
    <w:rsid w:val="3A40A5C4"/>
    <w:rsid w:val="3A4BF5DE"/>
    <w:rsid w:val="3A60517C"/>
    <w:rsid w:val="3A60B118"/>
    <w:rsid w:val="3A79D1F0"/>
    <w:rsid w:val="3AC523E2"/>
    <w:rsid w:val="3AD2171D"/>
    <w:rsid w:val="3AF901CC"/>
    <w:rsid w:val="3B1C10F3"/>
    <w:rsid w:val="3B2C1ACB"/>
    <w:rsid w:val="3B55CEF3"/>
    <w:rsid w:val="3B64CE6C"/>
    <w:rsid w:val="3BF65CD0"/>
    <w:rsid w:val="3BFAD619"/>
    <w:rsid w:val="3C945B31"/>
    <w:rsid w:val="3CBDA7F0"/>
    <w:rsid w:val="3CC434CE"/>
    <w:rsid w:val="3CC6A427"/>
    <w:rsid w:val="3D023EBD"/>
    <w:rsid w:val="3D3B9315"/>
    <w:rsid w:val="3D3C00A0"/>
    <w:rsid w:val="3D68354B"/>
    <w:rsid w:val="3D71F94D"/>
    <w:rsid w:val="3D982E3A"/>
    <w:rsid w:val="3D993425"/>
    <w:rsid w:val="3DBDD47F"/>
    <w:rsid w:val="3DE34E86"/>
    <w:rsid w:val="3DED8007"/>
    <w:rsid w:val="3E06F579"/>
    <w:rsid w:val="3E1190BA"/>
    <w:rsid w:val="3E3DE750"/>
    <w:rsid w:val="3E71C363"/>
    <w:rsid w:val="3E763617"/>
    <w:rsid w:val="3E85F0E7"/>
    <w:rsid w:val="3EBAD281"/>
    <w:rsid w:val="3F983505"/>
    <w:rsid w:val="3F9BACA2"/>
    <w:rsid w:val="3FA7D53B"/>
    <w:rsid w:val="3FAC4410"/>
    <w:rsid w:val="3FE040B9"/>
    <w:rsid w:val="40151233"/>
    <w:rsid w:val="403C4D74"/>
    <w:rsid w:val="40A62EFC"/>
    <w:rsid w:val="40B70B16"/>
    <w:rsid w:val="40C7707D"/>
    <w:rsid w:val="4110208F"/>
    <w:rsid w:val="41229345"/>
    <w:rsid w:val="4129A7CA"/>
    <w:rsid w:val="413D8889"/>
    <w:rsid w:val="414A8F60"/>
    <w:rsid w:val="41834903"/>
    <w:rsid w:val="41B3100B"/>
    <w:rsid w:val="41BD267E"/>
    <w:rsid w:val="42012A1E"/>
    <w:rsid w:val="42107F30"/>
    <w:rsid w:val="4222376D"/>
    <w:rsid w:val="423FF43F"/>
    <w:rsid w:val="425E2991"/>
    <w:rsid w:val="42A021A9"/>
    <w:rsid w:val="42B63179"/>
    <w:rsid w:val="42B8EE86"/>
    <w:rsid w:val="42F3A52C"/>
    <w:rsid w:val="42F924FD"/>
    <w:rsid w:val="4355EAF1"/>
    <w:rsid w:val="43828650"/>
    <w:rsid w:val="4389FE33"/>
    <w:rsid w:val="438B0B2D"/>
    <w:rsid w:val="43AFD688"/>
    <w:rsid w:val="43CB8B54"/>
    <w:rsid w:val="43D62E67"/>
    <w:rsid w:val="43E30EF0"/>
    <w:rsid w:val="43F846E4"/>
    <w:rsid w:val="43FA2A86"/>
    <w:rsid w:val="4402FBA5"/>
    <w:rsid w:val="44192B42"/>
    <w:rsid w:val="441FF451"/>
    <w:rsid w:val="4433AEF8"/>
    <w:rsid w:val="44694FD9"/>
    <w:rsid w:val="4495C71B"/>
    <w:rsid w:val="44B8A2CB"/>
    <w:rsid w:val="44CCA4EC"/>
    <w:rsid w:val="4508395A"/>
    <w:rsid w:val="4508BE19"/>
    <w:rsid w:val="450D5347"/>
    <w:rsid w:val="451A5592"/>
    <w:rsid w:val="45428E88"/>
    <w:rsid w:val="45AC0175"/>
    <w:rsid w:val="45B1E10E"/>
    <w:rsid w:val="45C08E4E"/>
    <w:rsid w:val="45F4F03D"/>
    <w:rsid w:val="45F6B6CE"/>
    <w:rsid w:val="4605682E"/>
    <w:rsid w:val="4612ACB4"/>
    <w:rsid w:val="461E97D0"/>
    <w:rsid w:val="4686CFFB"/>
    <w:rsid w:val="468A7C98"/>
    <w:rsid w:val="46BC3F24"/>
    <w:rsid w:val="46D6E503"/>
    <w:rsid w:val="471117D9"/>
    <w:rsid w:val="4712609D"/>
    <w:rsid w:val="47405642"/>
    <w:rsid w:val="4748D172"/>
    <w:rsid w:val="478CF90C"/>
    <w:rsid w:val="479764D0"/>
    <w:rsid w:val="47A9EBEE"/>
    <w:rsid w:val="47AF4370"/>
    <w:rsid w:val="47BA0973"/>
    <w:rsid w:val="47D224BF"/>
    <w:rsid w:val="47E41361"/>
    <w:rsid w:val="47ED7D10"/>
    <w:rsid w:val="482133A4"/>
    <w:rsid w:val="48515600"/>
    <w:rsid w:val="48BDBEFF"/>
    <w:rsid w:val="48E640D7"/>
    <w:rsid w:val="48F1D652"/>
    <w:rsid w:val="49066BD5"/>
    <w:rsid w:val="49356FC7"/>
    <w:rsid w:val="493F93AB"/>
    <w:rsid w:val="495C23C2"/>
    <w:rsid w:val="498DF759"/>
    <w:rsid w:val="49C7BE55"/>
    <w:rsid w:val="49D45B65"/>
    <w:rsid w:val="49D684EA"/>
    <w:rsid w:val="49E02632"/>
    <w:rsid w:val="49F3DBE0"/>
    <w:rsid w:val="49FAD26D"/>
    <w:rsid w:val="4A2E3683"/>
    <w:rsid w:val="4A349296"/>
    <w:rsid w:val="4A3C464F"/>
    <w:rsid w:val="4A6033C1"/>
    <w:rsid w:val="4A62ADAA"/>
    <w:rsid w:val="4ADC89F4"/>
    <w:rsid w:val="4B3AE634"/>
    <w:rsid w:val="4B482239"/>
    <w:rsid w:val="4B4C7016"/>
    <w:rsid w:val="4B67BF81"/>
    <w:rsid w:val="4B6D7E67"/>
    <w:rsid w:val="4B7C5F4F"/>
    <w:rsid w:val="4BB76EF8"/>
    <w:rsid w:val="4BC4C530"/>
    <w:rsid w:val="4BC8095B"/>
    <w:rsid w:val="4BD54307"/>
    <w:rsid w:val="4BDAE465"/>
    <w:rsid w:val="4BEC1434"/>
    <w:rsid w:val="4BEE706F"/>
    <w:rsid w:val="4C0122E2"/>
    <w:rsid w:val="4C427C5C"/>
    <w:rsid w:val="4C8EE7EA"/>
    <w:rsid w:val="4C9C0516"/>
    <w:rsid w:val="4CA0D468"/>
    <w:rsid w:val="4CB68B5B"/>
    <w:rsid w:val="4CE930DD"/>
    <w:rsid w:val="4CFC9301"/>
    <w:rsid w:val="4D04872C"/>
    <w:rsid w:val="4D0C5280"/>
    <w:rsid w:val="4D377243"/>
    <w:rsid w:val="4D5A59E5"/>
    <w:rsid w:val="4D7BC40F"/>
    <w:rsid w:val="4D813D30"/>
    <w:rsid w:val="4DD0150B"/>
    <w:rsid w:val="4DDCA5CE"/>
    <w:rsid w:val="4E0C20D1"/>
    <w:rsid w:val="4E29C803"/>
    <w:rsid w:val="4E3FF34A"/>
    <w:rsid w:val="4E5E8640"/>
    <w:rsid w:val="4EA31931"/>
    <w:rsid w:val="4EDF2FCE"/>
    <w:rsid w:val="4EE66219"/>
    <w:rsid w:val="4F1DCFB5"/>
    <w:rsid w:val="4F34A4B1"/>
    <w:rsid w:val="4F55022C"/>
    <w:rsid w:val="4F5F4975"/>
    <w:rsid w:val="4F66DC20"/>
    <w:rsid w:val="4F92BF97"/>
    <w:rsid w:val="4F9C8C07"/>
    <w:rsid w:val="4FD13F7C"/>
    <w:rsid w:val="4FD3B7E1"/>
    <w:rsid w:val="500F3EE7"/>
    <w:rsid w:val="5020B767"/>
    <w:rsid w:val="504EF491"/>
    <w:rsid w:val="50506E4E"/>
    <w:rsid w:val="505AB06C"/>
    <w:rsid w:val="506FA09B"/>
    <w:rsid w:val="5070C89F"/>
    <w:rsid w:val="50784A40"/>
    <w:rsid w:val="50D860D6"/>
    <w:rsid w:val="5105A0F1"/>
    <w:rsid w:val="5110643B"/>
    <w:rsid w:val="513BC8A9"/>
    <w:rsid w:val="51552B3A"/>
    <w:rsid w:val="518CF09D"/>
    <w:rsid w:val="51B0CFAF"/>
    <w:rsid w:val="51C4D7E2"/>
    <w:rsid w:val="51D657FA"/>
    <w:rsid w:val="51E3BCB5"/>
    <w:rsid w:val="5210D101"/>
    <w:rsid w:val="5212E0E0"/>
    <w:rsid w:val="522A4924"/>
    <w:rsid w:val="524488FF"/>
    <w:rsid w:val="52473F0A"/>
    <w:rsid w:val="52495DCC"/>
    <w:rsid w:val="525BF448"/>
    <w:rsid w:val="527DB05A"/>
    <w:rsid w:val="528CFFA0"/>
    <w:rsid w:val="52A0B416"/>
    <w:rsid w:val="52B7B9BE"/>
    <w:rsid w:val="52DF780A"/>
    <w:rsid w:val="530429C4"/>
    <w:rsid w:val="53140B90"/>
    <w:rsid w:val="5325C7C4"/>
    <w:rsid w:val="532E954B"/>
    <w:rsid w:val="5337617B"/>
    <w:rsid w:val="5337B216"/>
    <w:rsid w:val="5364FEBA"/>
    <w:rsid w:val="538D03AB"/>
    <w:rsid w:val="53A6DE65"/>
    <w:rsid w:val="53BEA30F"/>
    <w:rsid w:val="53CF5790"/>
    <w:rsid w:val="53D35245"/>
    <w:rsid w:val="53D485D6"/>
    <w:rsid w:val="53DAB0C8"/>
    <w:rsid w:val="546D9C9C"/>
    <w:rsid w:val="5485F1A9"/>
    <w:rsid w:val="54DCE89A"/>
    <w:rsid w:val="55010142"/>
    <w:rsid w:val="551F38E2"/>
    <w:rsid w:val="553E39C9"/>
    <w:rsid w:val="554A23D5"/>
    <w:rsid w:val="55647A3C"/>
    <w:rsid w:val="556889B0"/>
    <w:rsid w:val="556CEB8D"/>
    <w:rsid w:val="557B142F"/>
    <w:rsid w:val="5599C6A1"/>
    <w:rsid w:val="55C91388"/>
    <w:rsid w:val="55CE0931"/>
    <w:rsid w:val="55E8B336"/>
    <w:rsid w:val="5608ABB0"/>
    <w:rsid w:val="56232ED6"/>
    <w:rsid w:val="562696EB"/>
    <w:rsid w:val="56495112"/>
    <w:rsid w:val="5658E5E1"/>
    <w:rsid w:val="5659F0D2"/>
    <w:rsid w:val="565AA705"/>
    <w:rsid w:val="567311DB"/>
    <w:rsid w:val="5698A6F8"/>
    <w:rsid w:val="5698D61F"/>
    <w:rsid w:val="56B9F030"/>
    <w:rsid w:val="5706DF6D"/>
    <w:rsid w:val="570A4920"/>
    <w:rsid w:val="5769E172"/>
    <w:rsid w:val="578167A2"/>
    <w:rsid w:val="579C85A5"/>
    <w:rsid w:val="579E2858"/>
    <w:rsid w:val="57B5816B"/>
    <w:rsid w:val="57C3E462"/>
    <w:rsid w:val="581E16C1"/>
    <w:rsid w:val="5831264C"/>
    <w:rsid w:val="58488820"/>
    <w:rsid w:val="584F6F0F"/>
    <w:rsid w:val="586E4B7B"/>
    <w:rsid w:val="58A003EA"/>
    <w:rsid w:val="5920965A"/>
    <w:rsid w:val="5940CF88"/>
    <w:rsid w:val="594729B1"/>
    <w:rsid w:val="595B3DED"/>
    <w:rsid w:val="5983B87D"/>
    <w:rsid w:val="59986460"/>
    <w:rsid w:val="599B9640"/>
    <w:rsid w:val="59A84179"/>
    <w:rsid w:val="59AFAD2D"/>
    <w:rsid w:val="59B60357"/>
    <w:rsid w:val="59D5D6B5"/>
    <w:rsid w:val="59EBB73A"/>
    <w:rsid w:val="59FE0752"/>
    <w:rsid w:val="5A2EAAAE"/>
    <w:rsid w:val="5A422878"/>
    <w:rsid w:val="5A5782D8"/>
    <w:rsid w:val="5A5CE041"/>
    <w:rsid w:val="5A6369EA"/>
    <w:rsid w:val="5A640975"/>
    <w:rsid w:val="5A8494E5"/>
    <w:rsid w:val="5AB8178E"/>
    <w:rsid w:val="5AEB4CE7"/>
    <w:rsid w:val="5AEFBE6D"/>
    <w:rsid w:val="5B45B142"/>
    <w:rsid w:val="5B6986F8"/>
    <w:rsid w:val="5B69F538"/>
    <w:rsid w:val="5B725F05"/>
    <w:rsid w:val="5B9738F7"/>
    <w:rsid w:val="5BDA2453"/>
    <w:rsid w:val="5C12AFC0"/>
    <w:rsid w:val="5C33BCF8"/>
    <w:rsid w:val="5C4112D3"/>
    <w:rsid w:val="5C8BE867"/>
    <w:rsid w:val="5D1E488E"/>
    <w:rsid w:val="5D6116E6"/>
    <w:rsid w:val="5D760EA9"/>
    <w:rsid w:val="5D95589F"/>
    <w:rsid w:val="5DB079B9"/>
    <w:rsid w:val="5DB67E3C"/>
    <w:rsid w:val="5DB76460"/>
    <w:rsid w:val="5DCF7B26"/>
    <w:rsid w:val="5E0926BD"/>
    <w:rsid w:val="5E6FFE09"/>
    <w:rsid w:val="5E938D40"/>
    <w:rsid w:val="5EA7C630"/>
    <w:rsid w:val="5F289043"/>
    <w:rsid w:val="5F2DC4B6"/>
    <w:rsid w:val="5F6E7A49"/>
    <w:rsid w:val="5FB6A647"/>
    <w:rsid w:val="5FDC0BBD"/>
    <w:rsid w:val="5FE6B752"/>
    <w:rsid w:val="602DE308"/>
    <w:rsid w:val="6033BBC1"/>
    <w:rsid w:val="605BD437"/>
    <w:rsid w:val="607C9D2A"/>
    <w:rsid w:val="608919C2"/>
    <w:rsid w:val="609B5359"/>
    <w:rsid w:val="609DB2AE"/>
    <w:rsid w:val="60A7E49F"/>
    <w:rsid w:val="60D6456D"/>
    <w:rsid w:val="60DDCF15"/>
    <w:rsid w:val="60ED3AA5"/>
    <w:rsid w:val="60FB90E1"/>
    <w:rsid w:val="6102432C"/>
    <w:rsid w:val="61025F08"/>
    <w:rsid w:val="610C4E18"/>
    <w:rsid w:val="611A5F09"/>
    <w:rsid w:val="61413C32"/>
    <w:rsid w:val="61446BC7"/>
    <w:rsid w:val="61B0429C"/>
    <w:rsid w:val="61CDA3A4"/>
    <w:rsid w:val="61F7175E"/>
    <w:rsid w:val="62054486"/>
    <w:rsid w:val="6217D7C0"/>
    <w:rsid w:val="627D25B9"/>
    <w:rsid w:val="628FD0D0"/>
    <w:rsid w:val="62D888C3"/>
    <w:rsid w:val="62E253CB"/>
    <w:rsid w:val="62F8EA95"/>
    <w:rsid w:val="62FF1977"/>
    <w:rsid w:val="63002AF7"/>
    <w:rsid w:val="63014730"/>
    <w:rsid w:val="630295E8"/>
    <w:rsid w:val="630E124A"/>
    <w:rsid w:val="631128AC"/>
    <w:rsid w:val="63335B5B"/>
    <w:rsid w:val="63440DB4"/>
    <w:rsid w:val="635F1CAE"/>
    <w:rsid w:val="6368B6B8"/>
    <w:rsid w:val="638B2A0F"/>
    <w:rsid w:val="63A6707D"/>
    <w:rsid w:val="63BB5761"/>
    <w:rsid w:val="63E39E0A"/>
    <w:rsid w:val="6442C663"/>
    <w:rsid w:val="644DB428"/>
    <w:rsid w:val="64585CB3"/>
    <w:rsid w:val="647F892B"/>
    <w:rsid w:val="648BAF72"/>
    <w:rsid w:val="6496D431"/>
    <w:rsid w:val="64A32048"/>
    <w:rsid w:val="64C48380"/>
    <w:rsid w:val="64CC83A0"/>
    <w:rsid w:val="64D18AC7"/>
    <w:rsid w:val="64F3FE9B"/>
    <w:rsid w:val="64FC6B78"/>
    <w:rsid w:val="65329376"/>
    <w:rsid w:val="653BBB16"/>
    <w:rsid w:val="65512EB2"/>
    <w:rsid w:val="655AAA7F"/>
    <w:rsid w:val="6569A91F"/>
    <w:rsid w:val="657242D9"/>
    <w:rsid w:val="65780761"/>
    <w:rsid w:val="657C2596"/>
    <w:rsid w:val="6580A61C"/>
    <w:rsid w:val="659DEA82"/>
    <w:rsid w:val="65B84362"/>
    <w:rsid w:val="6633BC5C"/>
    <w:rsid w:val="667E2967"/>
    <w:rsid w:val="6693BFC0"/>
    <w:rsid w:val="66A5F285"/>
    <w:rsid w:val="66B7048D"/>
    <w:rsid w:val="66B816D3"/>
    <w:rsid w:val="66BA13E2"/>
    <w:rsid w:val="670E5C7F"/>
    <w:rsid w:val="6724CA95"/>
    <w:rsid w:val="67723B5C"/>
    <w:rsid w:val="6775FB87"/>
    <w:rsid w:val="6787A268"/>
    <w:rsid w:val="67919C85"/>
    <w:rsid w:val="67C7739A"/>
    <w:rsid w:val="685F30B2"/>
    <w:rsid w:val="68730E7C"/>
    <w:rsid w:val="68781C4F"/>
    <w:rsid w:val="6893D0D3"/>
    <w:rsid w:val="68B268D1"/>
    <w:rsid w:val="68C9FB26"/>
    <w:rsid w:val="68CCEBFD"/>
    <w:rsid w:val="68E69A99"/>
    <w:rsid w:val="68E6AAEF"/>
    <w:rsid w:val="690E4BF6"/>
    <w:rsid w:val="69586759"/>
    <w:rsid w:val="697A9F69"/>
    <w:rsid w:val="6980A649"/>
    <w:rsid w:val="69B54242"/>
    <w:rsid w:val="6A19D073"/>
    <w:rsid w:val="6A26162D"/>
    <w:rsid w:val="6A33F091"/>
    <w:rsid w:val="6A64A270"/>
    <w:rsid w:val="6A6D4BB5"/>
    <w:rsid w:val="6A7A1962"/>
    <w:rsid w:val="6AA35EB3"/>
    <w:rsid w:val="6AC80E66"/>
    <w:rsid w:val="6ACC39B7"/>
    <w:rsid w:val="6AFDD873"/>
    <w:rsid w:val="6B0E1B0E"/>
    <w:rsid w:val="6B39E0EC"/>
    <w:rsid w:val="6B59353D"/>
    <w:rsid w:val="6B5BD9AE"/>
    <w:rsid w:val="6B73D2BB"/>
    <w:rsid w:val="6BCA1BBF"/>
    <w:rsid w:val="6BDAC5C7"/>
    <w:rsid w:val="6BE9F6B9"/>
    <w:rsid w:val="6BF12FA2"/>
    <w:rsid w:val="6BF14132"/>
    <w:rsid w:val="6C0C5F0C"/>
    <w:rsid w:val="6C259A80"/>
    <w:rsid w:val="6C354428"/>
    <w:rsid w:val="6C5296AC"/>
    <w:rsid w:val="6C6A0AA4"/>
    <w:rsid w:val="6C8EF032"/>
    <w:rsid w:val="6CB0B365"/>
    <w:rsid w:val="6CB38D39"/>
    <w:rsid w:val="6CC347C9"/>
    <w:rsid w:val="6CE674E0"/>
    <w:rsid w:val="6CF695DB"/>
    <w:rsid w:val="6CFDF81D"/>
    <w:rsid w:val="6D0B9916"/>
    <w:rsid w:val="6D1D0EFE"/>
    <w:rsid w:val="6D32967C"/>
    <w:rsid w:val="6D5938A2"/>
    <w:rsid w:val="6D713F5A"/>
    <w:rsid w:val="6D7C5071"/>
    <w:rsid w:val="6D892F2F"/>
    <w:rsid w:val="6DC40D19"/>
    <w:rsid w:val="6DCDCE13"/>
    <w:rsid w:val="6DD65C5F"/>
    <w:rsid w:val="6DDB37BE"/>
    <w:rsid w:val="6E0066CF"/>
    <w:rsid w:val="6E009B4A"/>
    <w:rsid w:val="6E32B545"/>
    <w:rsid w:val="6E3973B0"/>
    <w:rsid w:val="6E4AC3DF"/>
    <w:rsid w:val="6E721A8D"/>
    <w:rsid w:val="6EA6995E"/>
    <w:rsid w:val="6EAE0F91"/>
    <w:rsid w:val="6EAF4ED5"/>
    <w:rsid w:val="6ECD2372"/>
    <w:rsid w:val="6EE5CA59"/>
    <w:rsid w:val="6EE876C9"/>
    <w:rsid w:val="6F0D51E8"/>
    <w:rsid w:val="6F4395E3"/>
    <w:rsid w:val="6F58E057"/>
    <w:rsid w:val="6F6E37D5"/>
    <w:rsid w:val="6F83F79F"/>
    <w:rsid w:val="6F85DD31"/>
    <w:rsid w:val="6F9EE750"/>
    <w:rsid w:val="6FA69595"/>
    <w:rsid w:val="6FD625EE"/>
    <w:rsid w:val="6FD6E6CC"/>
    <w:rsid w:val="6FDCC383"/>
    <w:rsid w:val="6FED07B9"/>
    <w:rsid w:val="704E30C7"/>
    <w:rsid w:val="7054BFCB"/>
    <w:rsid w:val="70792E92"/>
    <w:rsid w:val="707F59E8"/>
    <w:rsid w:val="70AF0287"/>
    <w:rsid w:val="70CC7511"/>
    <w:rsid w:val="70D634D4"/>
    <w:rsid w:val="70F19DDE"/>
    <w:rsid w:val="70F33422"/>
    <w:rsid w:val="7103BEF7"/>
    <w:rsid w:val="7143979A"/>
    <w:rsid w:val="71770678"/>
    <w:rsid w:val="7194BAF2"/>
    <w:rsid w:val="7197291B"/>
    <w:rsid w:val="71A5CBFB"/>
    <w:rsid w:val="71AA2CC8"/>
    <w:rsid w:val="71D8AEF9"/>
    <w:rsid w:val="71E50DC8"/>
    <w:rsid w:val="72094A22"/>
    <w:rsid w:val="722E4C22"/>
    <w:rsid w:val="723860F8"/>
    <w:rsid w:val="724CE63F"/>
    <w:rsid w:val="72887BC7"/>
    <w:rsid w:val="72CBAD51"/>
    <w:rsid w:val="72CDBCC6"/>
    <w:rsid w:val="72DAFBD2"/>
    <w:rsid w:val="73282652"/>
    <w:rsid w:val="732DD7E3"/>
    <w:rsid w:val="732E3DC6"/>
    <w:rsid w:val="734255FB"/>
    <w:rsid w:val="73469C58"/>
    <w:rsid w:val="734C1C4F"/>
    <w:rsid w:val="7387BF4D"/>
    <w:rsid w:val="73AE1CD7"/>
    <w:rsid w:val="73C8AC37"/>
    <w:rsid w:val="73D16EC6"/>
    <w:rsid w:val="73E2ACBA"/>
    <w:rsid w:val="73F52501"/>
    <w:rsid w:val="742D044C"/>
    <w:rsid w:val="745D7160"/>
    <w:rsid w:val="7466403E"/>
    <w:rsid w:val="74BA315F"/>
    <w:rsid w:val="74BA6AAE"/>
    <w:rsid w:val="74E68B43"/>
    <w:rsid w:val="74FD65F6"/>
    <w:rsid w:val="751CB7AB"/>
    <w:rsid w:val="755389EE"/>
    <w:rsid w:val="75B28CEB"/>
    <w:rsid w:val="75B7B414"/>
    <w:rsid w:val="75C85CD4"/>
    <w:rsid w:val="75DFBFE8"/>
    <w:rsid w:val="760F0F25"/>
    <w:rsid w:val="7620C389"/>
    <w:rsid w:val="762B9D4E"/>
    <w:rsid w:val="7647629B"/>
    <w:rsid w:val="7684DB92"/>
    <w:rsid w:val="76CD7B26"/>
    <w:rsid w:val="76F1B205"/>
    <w:rsid w:val="7705AD15"/>
    <w:rsid w:val="770D2129"/>
    <w:rsid w:val="772AF385"/>
    <w:rsid w:val="772D6E43"/>
    <w:rsid w:val="773A6646"/>
    <w:rsid w:val="7740BB15"/>
    <w:rsid w:val="7753568E"/>
    <w:rsid w:val="77621667"/>
    <w:rsid w:val="776AD7F4"/>
    <w:rsid w:val="77E37281"/>
    <w:rsid w:val="77F213C9"/>
    <w:rsid w:val="7809D818"/>
    <w:rsid w:val="7810230F"/>
    <w:rsid w:val="78941100"/>
    <w:rsid w:val="78C4529E"/>
    <w:rsid w:val="78DAF227"/>
    <w:rsid w:val="78DFFF28"/>
    <w:rsid w:val="78E55F2D"/>
    <w:rsid w:val="7932A443"/>
    <w:rsid w:val="798BEBFE"/>
    <w:rsid w:val="79BA5788"/>
    <w:rsid w:val="79CD9C34"/>
    <w:rsid w:val="79DD889C"/>
    <w:rsid w:val="7A25F3AD"/>
    <w:rsid w:val="7A35E284"/>
    <w:rsid w:val="7A375750"/>
    <w:rsid w:val="7A4C9349"/>
    <w:rsid w:val="7A7FD763"/>
    <w:rsid w:val="7A89D269"/>
    <w:rsid w:val="7A9CC89F"/>
    <w:rsid w:val="7AA15DDE"/>
    <w:rsid w:val="7AA35C97"/>
    <w:rsid w:val="7AC100D5"/>
    <w:rsid w:val="7AC4532D"/>
    <w:rsid w:val="7ACB3E98"/>
    <w:rsid w:val="7AD729E6"/>
    <w:rsid w:val="7ADE8C38"/>
    <w:rsid w:val="7B155505"/>
    <w:rsid w:val="7B159B62"/>
    <w:rsid w:val="7B1A49E9"/>
    <w:rsid w:val="7B6B3A3E"/>
    <w:rsid w:val="7BAA104A"/>
    <w:rsid w:val="7BF1CCAB"/>
    <w:rsid w:val="7BF6ED9E"/>
    <w:rsid w:val="7C0EC9B0"/>
    <w:rsid w:val="7C13B907"/>
    <w:rsid w:val="7C17337F"/>
    <w:rsid w:val="7C536AE3"/>
    <w:rsid w:val="7C5CA641"/>
    <w:rsid w:val="7C8E638B"/>
    <w:rsid w:val="7C950CCE"/>
    <w:rsid w:val="7C9A67A2"/>
    <w:rsid w:val="7CA1E626"/>
    <w:rsid w:val="7D1FA502"/>
    <w:rsid w:val="7D43C17E"/>
    <w:rsid w:val="7D602B72"/>
    <w:rsid w:val="7D64FEBC"/>
    <w:rsid w:val="7D79A231"/>
    <w:rsid w:val="7D7C2C7D"/>
    <w:rsid w:val="7DD24A5A"/>
    <w:rsid w:val="7DEDCA30"/>
    <w:rsid w:val="7DF111DA"/>
    <w:rsid w:val="7DF9B212"/>
    <w:rsid w:val="7E065048"/>
    <w:rsid w:val="7E1ABD08"/>
    <w:rsid w:val="7E49284D"/>
    <w:rsid w:val="7E5577A8"/>
    <w:rsid w:val="7E59AE47"/>
    <w:rsid w:val="7E6097F7"/>
    <w:rsid w:val="7E8FB17A"/>
    <w:rsid w:val="7EB58C36"/>
    <w:rsid w:val="7EC3DE47"/>
    <w:rsid w:val="7ECB36E7"/>
    <w:rsid w:val="7F29248B"/>
    <w:rsid w:val="7F461285"/>
    <w:rsid w:val="7F5D36B3"/>
    <w:rsid w:val="7F73202F"/>
    <w:rsid w:val="7F77D459"/>
    <w:rsid w:val="7F9618C2"/>
    <w:rsid w:val="7F984DCC"/>
    <w:rsid w:val="7FA3E6B4"/>
    <w:rsid w:val="7FAF03C2"/>
    <w:rsid w:val="7FCB032B"/>
    <w:rsid w:val="7FCB6AD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B3D9"/>
  <w15:chartTrackingRefBased/>
  <w15:docId w15:val="{FB7F5AEF-8103-48A4-94E6-9EE38FD7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2F158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2F158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rsid w:val="002F158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F158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F158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F15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F15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F15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F158D"/>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2F158D"/>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sid w:val="002F158D"/>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rsid w:val="002F158D"/>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2F158D"/>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2F158D"/>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2F158D"/>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2F158D"/>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2F158D"/>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2F158D"/>
    <w:rPr>
      <w:rFonts w:eastAsiaTheme="majorEastAsia" w:cstheme="majorBidi"/>
      <w:color w:val="272727" w:themeColor="text1" w:themeTint="D8"/>
    </w:rPr>
  </w:style>
  <w:style w:type="paragraph" w:styleId="Ttulo">
    <w:name w:val="Title"/>
    <w:basedOn w:val="Normal"/>
    <w:next w:val="Normal"/>
    <w:link w:val="TtuloCar"/>
    <w:uiPriority w:val="10"/>
    <w:qFormat/>
    <w:rsid w:val="002F158D"/>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2F158D"/>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2F158D"/>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2F15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F158D"/>
    <w:pPr>
      <w:spacing w:before="160"/>
      <w:jc w:val="center"/>
    </w:pPr>
    <w:rPr>
      <w:i/>
      <w:iCs/>
      <w:color w:val="404040" w:themeColor="text1" w:themeTint="BF"/>
    </w:rPr>
  </w:style>
  <w:style w:type="character" w:styleId="CitaCar" w:customStyle="1">
    <w:name w:val="Cita Car"/>
    <w:basedOn w:val="Fuentedeprrafopredeter"/>
    <w:link w:val="Cita"/>
    <w:uiPriority w:val="29"/>
    <w:rsid w:val="002F158D"/>
    <w:rPr>
      <w:i/>
      <w:iCs/>
      <w:color w:val="404040" w:themeColor="text1" w:themeTint="BF"/>
    </w:rPr>
  </w:style>
  <w:style w:type="paragraph" w:styleId="Prrafodelista">
    <w:name w:val="List Paragraph"/>
    <w:basedOn w:val="Normal"/>
    <w:uiPriority w:val="34"/>
    <w:qFormat/>
    <w:rsid w:val="002F158D"/>
    <w:pPr>
      <w:ind w:left="720"/>
      <w:contextualSpacing/>
    </w:pPr>
  </w:style>
  <w:style w:type="character" w:styleId="nfasisintenso">
    <w:name w:val="Intense Emphasis"/>
    <w:basedOn w:val="Fuentedeprrafopredeter"/>
    <w:uiPriority w:val="21"/>
    <w:qFormat/>
    <w:rsid w:val="002F158D"/>
    <w:rPr>
      <w:i/>
      <w:iCs/>
      <w:color w:val="0F4761" w:themeColor="accent1" w:themeShade="BF"/>
    </w:rPr>
  </w:style>
  <w:style w:type="paragraph" w:styleId="Citadestacada">
    <w:name w:val="Intense Quote"/>
    <w:basedOn w:val="Normal"/>
    <w:next w:val="Normal"/>
    <w:link w:val="CitadestacadaCar"/>
    <w:uiPriority w:val="30"/>
    <w:qFormat/>
    <w:rsid w:val="002F158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2F158D"/>
    <w:rPr>
      <w:i/>
      <w:iCs/>
      <w:color w:val="0F4761" w:themeColor="accent1" w:themeShade="BF"/>
    </w:rPr>
  </w:style>
  <w:style w:type="character" w:styleId="Referenciaintensa">
    <w:name w:val="Intense Reference"/>
    <w:basedOn w:val="Fuentedeprrafopredeter"/>
    <w:uiPriority w:val="32"/>
    <w:qFormat/>
    <w:rsid w:val="002F158D"/>
    <w:rPr>
      <w:b/>
      <w:bCs/>
      <w:smallCaps/>
      <w:color w:val="0F4761" w:themeColor="accent1" w:themeShade="BF"/>
      <w:spacing w:val="5"/>
    </w:rPr>
  </w:style>
  <w:style w:type="paragraph" w:styleId="Encabezado">
    <w:name w:val="header"/>
    <w:basedOn w:val="Normal"/>
    <w:link w:val="EncabezadoCar"/>
    <w:uiPriority w:val="99"/>
    <w:unhideWhenUsed/>
    <w:rsid w:val="002F158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2F158D"/>
  </w:style>
  <w:style w:type="paragraph" w:styleId="Piedepgina">
    <w:name w:val="footer"/>
    <w:basedOn w:val="Normal"/>
    <w:link w:val="PiedepginaCar"/>
    <w:uiPriority w:val="99"/>
    <w:unhideWhenUsed/>
    <w:rsid w:val="002F158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2F158D"/>
  </w:style>
  <w:style w:type="character" w:styleId="Hipervnculo">
    <w:name w:val="Hyperlink"/>
    <w:basedOn w:val="Fuentedeprrafopredeter"/>
    <w:uiPriority w:val="99"/>
    <w:unhideWhenUsed/>
    <w:rsid w:val="00303163"/>
    <w:rPr>
      <w:color w:val="467886" w:themeColor="hyperlink"/>
      <w:u w:val="single"/>
    </w:rPr>
  </w:style>
  <w:style w:type="character" w:styleId="Mencinsinresolver">
    <w:name w:val="Unresolved Mention"/>
    <w:basedOn w:val="Fuentedeprrafopredeter"/>
    <w:uiPriority w:val="99"/>
    <w:semiHidden/>
    <w:unhideWhenUsed/>
    <w:rsid w:val="001467E8"/>
    <w:rPr>
      <w:color w:val="605E5C"/>
      <w:shd w:val="clear" w:color="auto" w:fill="E1DFDD"/>
    </w:rPr>
  </w:style>
  <w:style w:type="character" w:styleId="Refdecomentario">
    <w:name w:val="annotation reference"/>
    <w:basedOn w:val="Fuentedeprrafopredeter"/>
    <w:uiPriority w:val="99"/>
    <w:semiHidden/>
    <w:unhideWhenUsed/>
    <w:rsid w:val="000E4CDD"/>
    <w:rPr>
      <w:sz w:val="16"/>
      <w:szCs w:val="16"/>
    </w:rPr>
  </w:style>
  <w:style w:type="paragraph" w:styleId="Textocomentario">
    <w:name w:val="annotation text"/>
    <w:basedOn w:val="Normal"/>
    <w:link w:val="TextocomentarioCar"/>
    <w:uiPriority w:val="99"/>
    <w:unhideWhenUsed/>
    <w:rsid w:val="000E4CDD"/>
    <w:pPr>
      <w:spacing w:line="240" w:lineRule="auto"/>
    </w:pPr>
    <w:rPr>
      <w:sz w:val="20"/>
      <w:szCs w:val="20"/>
    </w:rPr>
  </w:style>
  <w:style w:type="character" w:styleId="TextocomentarioCar" w:customStyle="1">
    <w:name w:val="Texto comentario Car"/>
    <w:basedOn w:val="Fuentedeprrafopredeter"/>
    <w:link w:val="Textocomentario"/>
    <w:uiPriority w:val="99"/>
    <w:rsid w:val="000E4CDD"/>
    <w:rPr>
      <w:sz w:val="20"/>
      <w:szCs w:val="20"/>
    </w:rPr>
  </w:style>
  <w:style w:type="paragraph" w:styleId="Asuntodelcomentario">
    <w:name w:val="annotation subject"/>
    <w:basedOn w:val="Textocomentario"/>
    <w:next w:val="Textocomentario"/>
    <w:link w:val="AsuntodelcomentarioCar"/>
    <w:uiPriority w:val="99"/>
    <w:semiHidden/>
    <w:unhideWhenUsed/>
    <w:rsid w:val="000E4CDD"/>
    <w:rPr>
      <w:b/>
      <w:bCs/>
    </w:rPr>
  </w:style>
  <w:style w:type="character" w:styleId="AsuntodelcomentarioCar" w:customStyle="1">
    <w:name w:val="Asunto del comentario Car"/>
    <w:basedOn w:val="TextocomentarioCar"/>
    <w:link w:val="Asuntodelcomentario"/>
    <w:uiPriority w:val="99"/>
    <w:semiHidden/>
    <w:rsid w:val="000E4CDD"/>
    <w:rPr>
      <w:b/>
      <w:bCs/>
      <w:sz w:val="20"/>
      <w:szCs w:val="20"/>
    </w:rPr>
  </w:style>
  <w:style w:type="paragraph" w:styleId="TtuloTDC">
    <w:name w:val="TOC Heading"/>
    <w:basedOn w:val="Ttulo1"/>
    <w:next w:val="Normal"/>
    <w:uiPriority w:val="39"/>
    <w:unhideWhenUsed/>
    <w:qFormat/>
    <w:rsid w:val="003C256B"/>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C256B"/>
    <w:pPr>
      <w:spacing w:after="100"/>
    </w:pPr>
  </w:style>
  <w:style w:type="paragraph" w:styleId="TDC2">
    <w:name w:val="toc 2"/>
    <w:basedOn w:val="Normal"/>
    <w:next w:val="Normal"/>
    <w:autoRedefine/>
    <w:uiPriority w:val="39"/>
    <w:unhideWhenUsed/>
    <w:rsid w:val="003C256B"/>
    <w:pPr>
      <w:spacing w:after="100"/>
      <w:ind w:left="240"/>
    </w:pPr>
  </w:style>
  <w:style w:type="table" w:styleId="Tablaconcuadrcula">
    <w:name w:val="Table Grid"/>
    <w:basedOn w:val="Tablanormal"/>
    <w:uiPriority w:val="39"/>
    <w:rsid w:val="003C256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D10F81"/>
    <w:rPr>
      <w:rFonts w:ascii="Times New Roman" w:hAnsi="Times New Roman" w:cs="Times New Roman"/>
    </w:rPr>
  </w:style>
  <w:style w:type="paragraph" w:styleId="HTMLconformatoprevio">
    <w:name w:val="HTML Preformatted"/>
    <w:basedOn w:val="Normal"/>
    <w:link w:val="HTMLconformatoprevioCar"/>
    <w:uiPriority w:val="99"/>
    <w:semiHidden/>
    <w:unhideWhenUsed/>
    <w:rsid w:val="00B173DE"/>
    <w:pPr>
      <w:spacing w:after="0" w:line="240" w:lineRule="auto"/>
    </w:pPr>
    <w:rPr>
      <w:rFonts w:ascii="Consolas" w:hAnsi="Consolas"/>
      <w:sz w:val="20"/>
      <w:szCs w:val="20"/>
    </w:rPr>
  </w:style>
  <w:style w:type="character" w:styleId="HTMLconformatoprevioCar" w:customStyle="1">
    <w:name w:val="HTML con formato previo Car"/>
    <w:basedOn w:val="Fuentedeprrafopredeter"/>
    <w:link w:val="HTMLconformatoprevio"/>
    <w:uiPriority w:val="99"/>
    <w:semiHidden/>
    <w:rsid w:val="00B173DE"/>
    <w:rPr>
      <w:rFonts w:ascii="Consolas" w:hAnsi="Consolas"/>
      <w:sz w:val="20"/>
      <w:szCs w:val="20"/>
    </w:rPr>
  </w:style>
  <w:style w:type="paragraph" w:styleId="TDC3">
    <w:name w:val="toc 3"/>
    <w:basedOn w:val="Normal"/>
    <w:next w:val="Normal"/>
    <w:autoRedefine/>
    <w:uiPriority w:val="39"/>
    <w:unhideWhenUsed/>
    <w:rsid w:val="00E8145B"/>
    <w:pPr>
      <w:spacing w:after="100"/>
      <w:ind w:left="480"/>
    </w:pPr>
  </w:style>
  <w:style w:type="paragraph" w:styleId="Revisin">
    <w:name w:val="Revision"/>
    <w:hidden/>
    <w:uiPriority w:val="99"/>
    <w:semiHidden/>
    <w:rsid w:val="007F68F0"/>
    <w:pPr>
      <w:spacing w:after="0" w:line="240" w:lineRule="auto"/>
    </w:pPr>
  </w:style>
  <w:style w:type="paragraph" w:styleId="Pa4" w:customStyle="1">
    <w:name w:val="Pa4"/>
    <w:basedOn w:val="Normal"/>
    <w:next w:val="Normal"/>
    <w:uiPriority w:val="99"/>
    <w:rsid w:val="005F537D"/>
    <w:pPr>
      <w:autoSpaceDE w:val="0"/>
      <w:autoSpaceDN w:val="0"/>
      <w:adjustRightInd w:val="0"/>
      <w:spacing w:after="0" w:line="221" w:lineRule="atLeast"/>
    </w:pPr>
    <w:rPr>
      <w:rFonts w:ascii="Flama Semibold" w:hAnsi="Flama Semibold"/>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n.wikipedia.org/wiki/Dengvaxia_controversy" TargetMode="External" Id="rId13" /><Relationship Type="http://schemas.openxmlformats.org/officeDocument/2006/relationships/hyperlink" Target="https://www.funcionpublica.gov.co/documents/418537/506911/1592.pdf/73e5a159-2d8f-41aa-8182-eb99e8c4f3ba"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image" Target="media/image4.png" Id="rId21" /><Relationship Type="http://schemas.openxmlformats.org/officeDocument/2006/relationships/settings" Target="settings.xml" Id="rId7" /><Relationship Type="http://schemas.openxmlformats.org/officeDocument/2006/relationships/hyperlink" Target="https://www.funcionpublica.gov.co/documents/d/guest/2025-09-11_guia_gestion_integral_riesgo_v7?download=true" TargetMode="External" Id="rId12" /><Relationship Type="http://schemas.openxmlformats.org/officeDocument/2006/relationships/image" Target="media/image3.pn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hyperlink" Target="https://www.funcionpublica.gov.co/eva/gestornormativo/norma_pdf.php?i=271296"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https://www.nytimes.com" TargetMode="Externa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hyperlink" Target="https://www.flightsafetyaustralia.com" TargetMode="External" Id="rId23" /><Relationship Type="http://schemas.openxmlformats.org/officeDocument/2006/relationships/endnotes" Target="endnotes.xml" Id="rId10" /><Relationship Type="http://schemas.openxmlformats.org/officeDocument/2006/relationships/hyperlink" Target="https://www.funcionpublica.gov.co/documents/418537/506911/1592.pdf/73e5a159-2d8f-41aa-8182-eb99e8c4f3b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s://www.epa.gov" TargetMode="External" Id="rId22" /><Relationship Type="http://schemas.microsoft.com/office/2020/10/relationships/intelligence" Target="intelligence2.xml" Id="rId27"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acb73d-76ae-451c-8b54-4db7ac0d4972">
      <Terms xmlns="http://schemas.microsoft.com/office/infopath/2007/PartnerControls"/>
    </lcf76f155ced4ddcb4097134ff3c332f>
    <TaxCatchAll xmlns="ff4715b3-8926-4057-a016-b56648b8fc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DDE2435297A74CAF63EF7E5C286F56" ma:contentTypeVersion="12" ma:contentTypeDescription="Create a new document." ma:contentTypeScope="" ma:versionID="23d9980d83543f4cf0de88b2aa4255fb">
  <xsd:schema xmlns:xsd="http://www.w3.org/2001/XMLSchema" xmlns:xs="http://www.w3.org/2001/XMLSchema" xmlns:p="http://schemas.microsoft.com/office/2006/metadata/properties" xmlns:ns2="57acb73d-76ae-451c-8b54-4db7ac0d4972" xmlns:ns3="ff4715b3-8926-4057-a016-b56648b8fca4" targetNamespace="http://schemas.microsoft.com/office/2006/metadata/properties" ma:root="true" ma:fieldsID="3b605a1138399019097d6649709c1666" ns2:_="" ns3:_="">
    <xsd:import namespace="57acb73d-76ae-451c-8b54-4db7ac0d4972"/>
    <xsd:import namespace="ff4715b3-8926-4057-a016-b56648b8f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b73d-76ae-451c-8b54-4db7ac0d49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4715b3-8926-4057-a016-b56648b8fca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e9a24db-ceb3-4b96-84a9-bafbc483ac1a}" ma:internalName="TaxCatchAll" ma:showField="CatchAllData" ma:web="ff4715b3-8926-4057-a016-b56648b8f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4B552-265E-4C84-AB08-7C94C0BD2F6A}">
  <ds:schemaRefs>
    <ds:schemaRef ds:uri="http://schemas.openxmlformats.org/officeDocument/2006/bibliography"/>
  </ds:schemaRefs>
</ds:datastoreItem>
</file>

<file path=customXml/itemProps2.xml><?xml version="1.0" encoding="utf-8"?>
<ds:datastoreItem xmlns:ds="http://schemas.openxmlformats.org/officeDocument/2006/customXml" ds:itemID="{2EB120F4-15B0-407F-85AE-CDB24D7CB3E7}">
  <ds:schemaRefs>
    <ds:schemaRef ds:uri="http://schemas.microsoft.com/office/2006/metadata/properties"/>
    <ds:schemaRef ds:uri="http://schemas.microsoft.com/office/infopath/2007/PartnerControls"/>
    <ds:schemaRef ds:uri="57acb73d-76ae-451c-8b54-4db7ac0d4972"/>
    <ds:schemaRef ds:uri="ff4715b3-8926-4057-a016-b56648b8fca4"/>
  </ds:schemaRefs>
</ds:datastoreItem>
</file>

<file path=customXml/itemProps3.xml><?xml version="1.0" encoding="utf-8"?>
<ds:datastoreItem xmlns:ds="http://schemas.openxmlformats.org/officeDocument/2006/customXml" ds:itemID="{682E03FE-9E96-4F4A-BBC3-473B727BB5F6}">
  <ds:schemaRefs>
    <ds:schemaRef ds:uri="http://schemas.microsoft.com/sharepoint/v3/contenttype/forms"/>
  </ds:schemaRefs>
</ds:datastoreItem>
</file>

<file path=customXml/itemProps4.xml><?xml version="1.0" encoding="utf-8"?>
<ds:datastoreItem xmlns:ds="http://schemas.openxmlformats.org/officeDocument/2006/customXml" ds:itemID="{1BF71BAD-1938-4C6F-BC22-C550193FCA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LLANOS</dc:creator>
  <cp:keywords/>
  <dc:description/>
  <cp:lastModifiedBy>MELISA BERNARDA MEJIA SIERRA</cp:lastModifiedBy>
  <cp:revision>3</cp:revision>
  <dcterms:created xsi:type="dcterms:W3CDTF">2026-03-25T19:40:00Z</dcterms:created>
  <dcterms:modified xsi:type="dcterms:W3CDTF">2026-05-09T16:02:43Z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0x0101001FDDE2435297A74CAF63EF7E5C286F56</vt:lpwstr>
  </property>
  <property fmtid="{D5CDD505-2E9C-101B-9397-08002B2CF9AE}" pid="3" name="MediaServiceImageTags">
    <vt:lpwstr/>
  </property>
</Properties>
</file>